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300 vom 11. März 2021</w:t>
      </w:r>
    </w:p>
    <w:p>
      <w:r>
        <w:t>VD Tribunal cantonal, 2021-03-11, FR</w:t>
      </w:r>
    </w:p>
    <w:p>
      <w:r>
        <w:rPr>
          <w:b/>
        </w:rPr>
        <w:t xml:space="preserve">Quelle: </w:t>
      </w:r>
      <w:r>
        <w:t>https://mcp.opencaselaw.ch/entscheid/vd_findinfo_Jug___2021___300</w:t>
      </w:r>
    </w:p>
    <w:p>
      <w:r>
        <w:t>FR: VD_FINDINFO Jug / 2021 / 300 du 11 mars 2021</w:t>
      </w:r>
    </w:p>
    <w:p>
      <w:r>
        <w:t>IT: VD_FINDINFO Jug / 2021 / 300 del 11 marzo 2021</w:t>
      </w:r>
    </w:p>
    <w:p>
      <w:pPr>
        <w:pStyle w:val="Heading2"/>
      </w:pPr>
      <w:r>
        <w:t>Regeste</w:t>
      </w:r>
    </w:p>
    <w:p>
      <w:r>
        <w:t>ACTE D'ORDRE SEXUEL SUR UN INCAPABLE DE DISCERNEMENT, EXPULSION{DROIT PÉNAL} | 191 CP, 66a al. 1 let. h CP</w:t>
      </w:r>
    </w:p>
    <w:p>
      <w:pPr>
        <w:pStyle w:val="Heading2"/>
      </w:pPr>
      <w:r>
        <w:t>Erwägungen</w:t>
      </w:r>
    </w:p>
    <w:p>
      <w:r>
        <w:rPr>
          <w:b/>
        </w:rPr>
        <w:t>E. 1</w:t>
      </w:r>
    </w:p>
    <w:p>
      <w:r>
        <w:t>Interjeté dans les formes et délais légaux (art. 399 CPP) par une partie ayant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6B_481/2020 précité).</w:t>
      </w:r>
    </w:p>
    <w:p>
      <w:r>
        <w:rPr>
          <w:b/>
        </w:rPr>
        <w:t>E. 3.1</w:t>
      </w:r>
    </w:p>
    <w:p>
      <w:r>
        <w:t>Les premiers juges ont estimé qu'en raison de l'alcool ingéré, X.________ présentait une totale incapacité de résistance et que l'appelant en avait profité, à tout le moins par dol éventuel, pour entretenir avec elle, à deux reprises, un rapport sexuel (cf. jugement entrepris, p. 35).</w:t>
      </w:r>
    </w:p>
    <w:p>
      <w:r>
        <w:rPr>
          <w:b/>
        </w:rPr>
        <w:t>E. 3.2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6B_238/2019 du 16 avril 2019 consid. 2.1 ; TF 6B_69/2018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 ATF 119 IV 230 consid. 3a ; TF 6B_60/2015 du 25 janvier 2016 consid. 1.1.3).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TF 6B_727/2019 du 27 septembre 2019 consid. 1.1).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TF 6B_586/2019 du 3 juillet 2019 consid. 1.4 ; TF 6B_578/2018 du 20 mars 2019 consid. 2.3.2 ; TF 6B 996/2017 du 7 mars 2018 consi. 2 ; TF 6B_17/2016 du 18 juillet 2017 consid. 1.4.2 ; TF 6B_60/2015 du 25 janvier 2016 consid. 1.1).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Maier, Basler Kommentar, Strafgesetzbuch, 3 e éd. 2013, n° 5 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moeurs et la famille, FF 1985 II 1021 ss, p. 1093 ; voir également TF 6S.359/2002 du 7 août 2013 consid. 4.2 et les références citées, qui retient : "So ist der Tatbestand der Schändung namentlich nicht erfüllt, wenn der Partner vorgängig in den Sexualkontakt eingewilligt hat. Das vor dem Eintritt der Widerstands- oder Urteilsunfähigkeit erklärte Einverstandnis schliesst den Tatbestand aus.").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Sur le plan subjectif, l'art. 191 CP requiert l'intention, étant précisé que le dol éventuel suffit (TF 6B 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 2.1 ; TF 6B 996/2017 du 7 mars 2018 consid. 1.1 ; TF 6B_60/2015 du 25 janvier 2016 consid. 1.2.1). Déterminer ce qu'une personne a su, envisagé, voulu ou accepté relève des constatations de fait (ATF 142 IV 137 consid. 12 ; ATF 141 IV 369 consid. 6.3).</w:t>
      </w:r>
    </w:p>
    <w:p>
      <w:r>
        <w:rPr>
          <w:b/>
        </w:rPr>
        <w:t>E. 3.3.1</w:t>
      </w:r>
    </w:p>
    <w:p>
      <w:r>
        <w:t>Les premiers juges ont considéré que la version de l'appelant, selon laquelle la plaignante était lucide et demandeuse d'un rapport sexuel, n'était pas crédible dans la mesure où sa présentation des faits avait évolué au fil de l'enquête (cf. jugement entrepris, p. 34). L'appelant critique ces considérants. Le Tribunal correctionnel aurait omis à tort de prendre en considération son propre récit, qui serait crédible, ainsi que de nombreux éléments factuels qui auraient dû conduire à son acquittement. En réalité, le point litigieux relève plus de l'appréciation des faits que de l'établissement des faits eux-mêmes.</w:t>
      </w:r>
    </w:p>
    <w:p>
      <w:r>
        <w:rPr>
          <w:b/>
        </w:rPr>
        <w:t>E. 3.3.2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JdT 2017 I 325).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références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w:t>
      </w:r>
    </w:p>
    <w:p>
      <w:r>
        <w:rPr>
          <w:b/>
        </w:rPr>
        <w:t>E. 3.3.3</w:t>
      </w:r>
    </w:p>
    <w:p>
      <w:r>
        <w:t>En l’espèce, lors de sa première audition (cf. PV aud. 1, p. 2), le prévenu a déclaré : « Durant tout le trajet elle parlait très bien, elle était consciente en tout. Elle a alors vomi dans ma voiture et également dehors et sur ses habits. » Lors de sa deuxième audition (cf. PV aud. 2, p. 2), il a précisé : « Pour vous répondre, X.________ a vomi dans la portière de la voiture, ainsi que sur elle-même. Elle avait vomi notamment sur sa veste. Je précise que c'est arrivé très rapidement et que je n'ai pas eu le temps d'arrêter la voiture. » Lors de sa troisième audition (cf. PV aud. 8, p. 4), il a déclaré : « Vous me demandez s'il est exact que X.________ a vomi dans mon véhicule, Disons qu'elle a craché plutôt que vomi. C'était en partant du [...], avant que je lui demande où elle voulait que je la dépose. Quand j'ai vu qu'elle était malade, j'ai voulu la redéposer là où je l'avais trouvée. Je lui ai donc demandé si je l'amenais au [...] et elle m'a dit non. Pour moi elle avait bu. » Enfin à l'audience du 11 mars 2021 (cf. jugement entrepris, p. 6), il a déclaré : « Vous me demandez si X.________ a vomi dans la voiture. Je vous réponds qu'elle n'a pas vomi, mais craché de l'alcool. Elle n'a pas non plus vomi à la maison. Pour moi, vomir c'est cracher de la nourriture », puis plus loin (cf. jugement entrepris, p. 7) : « Vous me faites remarquer que le fait de vomir est un signe d'intoxication. Pour moi si elle vomit c'est peut-être parce qu'elle n'a pas aimé quelque chose qu'elle a bu. Je ne suis pas médecin. Je n'ai pas vomi quant à moi. Pour moi malgré tout cela elle n'était pas trop alcoolisée. Pour moi qui suis dans le monde de la nuit, quelqu'un qui est alcoolisé c'est ceux qui tombent par terre, qui vomissent. Là elle a juste craché de l'alcool et n'a pas vomi. » Compte tenu de ces déclarations, les premiers juges étaient fondés à retenir que le prévenu avait pour le moins édulcoré ses propos en finissant par affirmer que sa passagère avait craché dans la voiture et qu'elle était parfaitement lucide et consciente durant toute la durée des évènements. De même, ils étaient fondés à relever que les contradictions du prévenu et l'adaptation de son discours au fil de l'avancement de l'enquête faisaient douter de sa crédibilité (cf. jugement entrepris, p. 34). En effet, il est patent que l'appelant s'est efforcé de gommer les symptômes d'ivresse aigüe auxquels il a été confronté, ce pour s'autofavoriser. Sous un autre aspect, la version des faits de l'appelant n'est pas du tout crédible. Il soutient avoir cru que X.________ était majeure lorsqu'elle lui a dit qu'elle avait 19 ans (cf. PV aud. 2, pp. 2 et 3), alors qu'en réalité elle n'avait que 17 ans. Il l'a abordée lorsqu'elle attendait devant l'entrée du [...] son copain ou des amis qui étaient à l'intérieur et qui ne sortiraient qu'à 04h00. Or, lui qui connaît le monde de la nuit en a forcément inféré, même s'il dit que le refus d'accès était lié à l'absence de carte de membre (cf. PV aud. 8, p. 6), que si elle ne pouvait pas entrer c'est parce qu'elle n'avait pas 18 ans révolus. Ainsi dans la synthèse de l'audition de la plaignante (cf. PV aud. 5, pp. 2 et 3), on lit qu'elle voulait entrer au [...], mais que le personnel de sécurité lui avait refusé l'accès en raison de son âge (cf. jugement entrepris, p. 11) et c'est alors que le prévenu l'a abordée en lui proposant de la faire entrer avec lui, car il connaissait les gens de la sécurité. La plaignante a reconnu lui avoir menti sur son âge, dit que le prévenu était entré dans la discothèque et ressorti en disant qu'il ne pouvait pas la faire entrer pour le moment, mais certainement un peu plus tard, lors de la relève de la sécurité (cf. jugement entrepris, p. 11 in fine), ce que le prévenu a admis (cf. PV aud. 8, p. 5 in fine) et c'est à ce moment qu'il a proposé à la plaignante d'aller boire ailleurs en attendant. Sous un troisième aspect, la version de l'appelant paraît incongrue au point d'être invraisemblable. Il s'agit de l'incohérence du comportement de la jeune fille que l'appelant décrit comme demandeuse d'un rapport sexuel, débuté après qu'elle venait de vomir et sans même qu'elle se soit rincée la bouche, ni qu'elle se soit préoccupée de se protéger, puis interrompu aussitôt par elle, distinctement, à deux reprises au bout de dix secondes et d'une ou deux minutes, sans qu'on comprenne les motifs de cette volte-face et sans que lui-même s'en enquière. Au vu des éléments qui précèdent, l'appréciation des premiers juges selon laquelle les déclarations du prévenu ne sont pas fiables doit être confirmée et l'appel rejeté sur ce point.</w:t>
      </w:r>
    </w:p>
    <w:p>
      <w:r>
        <w:rPr>
          <w:b/>
        </w:rPr>
        <w:t>E. 3.4.1</w:t>
      </w:r>
    </w:p>
    <w:p>
      <w:r>
        <w:t>Les premiers juges ont considéré que les déclarations de la plaignante étaient crédibles, car corroborées par les images de vidéosurveillance qui montrent son ébriété avancée lorsqu'elle renverse son verre sur la table à l’établissement [...] à deux reprises, peine à enfiler sa veste, à se relever, à tenir debout. De plus, son amnésie temporaire était parfaitement compatible avec une ingestion d'alcool rapide et massive (cf. jugement entrepris, p. 34). L'appelant objecte que la plaignante a donné une première version mensongère des faits, en racontant aux médecins légistes qui l'ont examinée le 20 octobre 2018 qu'elle avait été agressée et violée dans la rue par un inconnu (cf. P. 13, p. 3).</w:t>
      </w:r>
    </w:p>
    <w:p>
      <w:r>
        <w:rPr>
          <w:b/>
        </w:rPr>
        <w:t>E. 3.4.2</w:t>
      </w:r>
    </w:p>
    <w:p>
      <w:r>
        <w:t>A ce sujet, la plaignante a expliqué plus tard de manière crédible qu'elle avait menti par honte de dire à ses proches, notamment à sa mère qui est policière, qu'elle avait suivi un inconnu chez lui (cf. PV aud. 6, p. 5). Toutefois dans ses dépositions, elle a dit la vérité aux autorités. Pour le surplus, son récit d'amnésie ne laissant subsister que quelques souvenirs diffus des rapports sexuels sous forme de flashs (cf. PV aud. 6, p. 3 in fine), de sa demande d'arrêter (cf. PV aud. 5, p. 3 in fine et p. 4), de sa tentative de se mettre sur le côté, sonne vrai et dépourvu d'exagérations. Sur ce point également, l'appel doit être rejeté.</w:t>
      </w:r>
    </w:p>
    <w:p>
      <w:r>
        <w:rPr>
          <w:b/>
        </w:rPr>
        <w:t>E. 3.5.1</w:t>
      </w:r>
    </w:p>
    <w:p>
      <w:r>
        <w:t>Sur la base de l’expertise toxicologique effectuée le 20 octobre 2018 à 12h40 (cf. P 38), confirmant la présence à ce moment-là d’un taux de 0.16 g/kg d’éthanol dans le sang de X.________, et selon un calcul rétroactif indiquant une concentration d’éthanol entre au minimum 1.17 et 2.95 g/kg au moment critique, coïncidant avec la fin de consommation d’alcool fixée à 00h00, les premiers juges ont retenu que la plaignante était victime d’une intoxication sévère à l’alcool au moment des faits (cf. jugement entrepris, pp. 34 et 35). L’appelant le conteste. Il soutient qu’il ne serait aucunement démontré que la plaignante n’aurait pas conservé sa capacité de discernement ou de résistance malgré sa consommation d’alcool.</w:t>
      </w:r>
    </w:p>
    <w:p>
      <w:r>
        <w:rPr>
          <w:b/>
        </w:rPr>
        <w:t>E. 3.5.2</w:t>
      </w:r>
    </w:p>
    <w:p>
      <w:r>
        <w:t>Sur ce point, trois sources sont disponibles. D’une part, les déclarations et les images relatives à la consommation d'alcool de la plaignante, d’autre part les symptômes d'ivresse, enfin les résultats de l'analyse des toxicologues. La plaignante a déclaré qu'elle avait bu une bouteille de vin rosé avec son frère (cf. PV aud. 6, p. 2), ainsi que deux verres de Jäggermeister avec du Red Bull (cf. PV aud. 6, p. 6) et qu'elle était déjà ivre lorsqu'elle a rencontré le prévenu. A l’établissement [...], elle a bu deux verres (long drink) de vodka Red Bull et deux shots de Sambucca, mais ce dernier verre n'aurait été consommé qu'en partie, car la plaignante l'a renversé (cf. P. 20, p. 9 in fine et p. 10). De son côté, le prévenu a déclaré que la plaignante était déjà « un peu bourrée » lorsqu'il l'avait abordée devant le [...] et qu'elle sentait l'alcool (cf. PV aud. 1, p. 5), qu'à la sortie de l’établissement [...] il la tenait – le serveur a indiqué qu'il avait fait ça pour lui éviter de tomber (cf. PV aud. 4, p. 3) –, qu'elle avait renversé des verres en se levant et qu'il avait emprunté à dessein une sortie dépourvue d'escaliers. Il a aussi fait état du vomissement décrit plus haut, et encore déclaré que, chez lui, elle toussait beaucoup et qu'il lui avait apporté un sceau pour parer à de nouveaux rejets gastriques. Enfin, l'amnésie décrite par la plaignante constitue un autre symptôme d’alcoolisation très importante. Selon les images prises à l’établissement [...], la plaignante avait de la peine à tenir debout, à mettre sa veste, a dû se tenir à un fauteuil et le prévenu a dû la soutenir pour qu'elle marche (cf. P. 20, p. 10 ; PV aud. 6, p. 3 ; PV aud. 8, p. 4). Selon l'expertise toxicologique (cf. P. 38, p. 3), la concentration d'alcool se situait, d’une part, entre 1,17 et 2,95 g/kg dans l'hypothèse que le moment critique et la fin de la consommation soient à 00h00, ou, d’autre part, entre 0,57 et 1,75 g/kg dans l'hypothèse que le moment critique et la fin de la consommation soient à 06h00. Selon la jurisprudence rendue en matière de diminution de la responsabilité pénale, à l'époque où l'alcoolémie était exprimée en pour mille, un taux de plus de trois grammes pour mille posait une présomption d'irresponsabilité (Favre et al., Code pénal annoté, Lausanne 2007, n. 2.4 ad art. 19 CP ; Dupuis et al. [éd.], Petit Commentaire du Code pénal, 2 e éd., Bâle 2017, n° 17 ad art. 19 CP). L'appelant entend privilégier la deuxième hypothèse, qui lui est la plus favorable, en soulignant qu'une photographie prise avec son téléphone, qui le montre dans la rue en compagnie de la plaignante à la sortie de l’établissement [...], indique la date du 20 octobre 2018 à 02h28 (cf. annexe à PV aud. 6), ce qui établirait selon lui que cette heure était éloignée de celle de 00h00 retenue dans la première hypothèse. Toutefois, s’il n'est déjà pas certain que l'indication horaire de la photographie soit correcte, cette photographie est en réalité postérieure à la dernière consommation d'alcool dans le bar, et son heure accrédite une fin de consommation antérieure plus proche de 00h00 que de 06h00 du matin. Les images de vidéo surveillance de l’établissement [...] établissent que le dernier verre a été servi à 01h13 et que le couple est parti à 01h26 (cf. P. 20, p. 10). Il en résulte que la deuxième hypothèse, qui se fonde sur une fin de consommation à 06h00, doit être écartée. Certes la consommation n'a pas pris fin à minuit, mais entre 01h13 et 01h26. Dans l'état de fait de l'arrêt du Tribunal fédéral 6B_964/2020 du 10 septembre 2020 traitant d'une affaire semblable à la présente cause, où la concentration d'éthanol dans le sang de la victime était comprise entre 2,2 et 3 g/kg au moment critique, on peut lire ce qui suit : « Selon les experts, une alcoolémie située entre 0,9 et 2,5 g/kg engendre un état d'excitation – soit d'ébriété avec, en particulier, une perte du jugement, une surestimation des capacités, une baisse de la vigilance, ainsi que l'apparition d'une incoordination motrice –, tandis qu'une alcoolémie située entre 1,8 et 3 g/kg correspond à un état de confusion, avec des troubles neurosensoriels, une apathie, une nette incoordination motrice, une exacerbation des réactions émotionnelles et le début d'une confusion mentale. Selon eux, une alcoolémie située entre 2,5 et 4 g/kg engendre de la stupeur, une intoxication sévère avec, entre autres, une inertie, une perte des fonctions motrices, une diminution drastique de la possibilité de se tenir debout ou de marcher. » Compte tenu du comportement familier et à connotation sexuelle adopté par la jeune fille avec un inconnu ayant le double de son âge, de ses pertes d'équilibre et de maîtrise des gestes, de son incapacité de marcher sans assistance physique et de gravir des escaliers, de son amnésie et de ses vomissements, d’un taux d'alcoolémie de l'ordre de 1,17 et 2,95 g/kg, il y a lieu de retenir que la plaignante, âgée la nuit en question de 17 ans et un mois, était très fortement sous l'influence de l'alcool. Ainsi, se trouvant au moment des faits reprochés au prévenu dans un état d’incapacité de résistance en raison de son alcoolisation très importante, la plaignante n'était manifestement pas en mesure de s'opposer à l'acte sexuel voulu par l'auteur.</w:t>
      </w:r>
    </w:p>
    <w:p>
      <w:r>
        <w:rPr>
          <w:b/>
        </w:rPr>
        <w:t>E. 3.6.1</w:t>
      </w:r>
    </w:p>
    <w:p>
      <w:r>
        <w:t>Les premiers juges ont retenu que le prévenu s’était accommodé de l’éventualité que la plaignante ne puisse pas être en situation de s’opposer à une sollicitation d’ordre sexuel, et qu’il avait exploité l’incapacité de cette dernière en lui faisant subir un acte sexuel (cf. jugement entrepris, p. 35). L’appelant le conteste. Il soutient qu’il aurait légitimement cru que X.________ était consentante et consciente de la direction que prenait la soirée, bien qu’alcoolisée. Il n’aurait dès lors pas eu conscience et volonté de profiter de l’état de la jeune fille pour la pénétrer.</w:t>
      </w:r>
    </w:p>
    <w:p>
      <w:r>
        <w:rPr>
          <w:b/>
        </w:rPr>
        <w:t>E. 3.6.2</w:t>
      </w:r>
    </w:p>
    <w:p>
      <w:r>
        <w:t>Avec les premiers juges, il faut retenir que le prévenu n’est absolument pas crédible lorsqu’il prétend qu’il ne s’était pas rendu compte de l’état réel dans lequel la plaignante se trouvait. Cette affirmation est en contradiction manifeste avec ses propres déclarations selon lesquelles il avait dû l’aider à marcher, elle avait vomi dans sa voiture, avant qu’il ne se rétracte pour parler de « crachat ». Ainsi, la dégradation de l’état de la plaignante n'a pu lui échapper. L’appelant a saisi l'occasion que l'intimée se trouvait sous l'effet d'une forte alcoolisation pour lui ôter ses sous-vêtements et la pénétrer avec son sexe. Le fait que l'intimée soit parvenue, malgré son état, à réagir à cette sensation en disant non au prévenu et en tentant de se tourner ne permet pas encore de retenir qu'elle était capable d'exprimer efficacement son opposition. Dans ce contexte, et dès lors que l'appelant a de surcroît repris ses agissements après une première demande d'arrêt, c'est en vain que celui-ci soutient avoir obtempéré aux souhaits de l'intimée, qui avait répété sa désapprobation à l'occasion d'une nouvelle pénétration. L'insistance de l’appelant tend au contraire à établir qu'il a effectivement exploité l'état d'incapacité de résistance dans lequel se trouvait la plaignante pour accomplir l'acte sexuel sans qu'elle soit en mesure d'y résister. Une intention, à tout le moins sous la forme d'un dol éventuel, est réalisée.</w:t>
      </w:r>
    </w:p>
    <w:p>
      <w:r>
        <w:rPr>
          <w:b/>
        </w:rPr>
        <w:t>E. 3.7</w:t>
      </w:r>
    </w:p>
    <w:p>
      <w:r>
        <w:t>Il s'ensuit que les éléments constitutifs objectifs et subjectif de l'infraction réprimée à l'art. 191 CP sont indiscutablement réunis.</w:t>
      </w:r>
    </w:p>
    <w:p>
      <w:r>
        <w:rPr>
          <w:b/>
        </w:rPr>
        <w:t>E. 4</w:t>
      </w:r>
    </w:p>
    <w:p>
      <w:r>
        <w:t>L’appelant, qui conclut à son acquittement, ne conteste pas la peine en tant que telle. Vérifiée d’office, la peine privative de liberté de 24 mois infligée par les premiers juges, fixée en application des critères légaux à charge et à décharge (cf. jugement entrepris, pp. 35 à 37), et conformément à la culpabilité de B.________, sanctionne adéquatement le comportement fautif du prévenu. Cette peine doit donc être confirmée. La culpabilité du prévenu est en effet importante, et la prise de conscience nulle. Alors qu'il est un homme mûr, pour assouvir sa sexualité, il s'en est pris à une adolescente. Il a déjà trois condamnations pénales au casier judiciaire. Son état d'esprit ne permet de poser un pronostic mitigé qu'eu égard au choc salutaire que l'exécution de la part ferme de la peine provoquera. Ne prêtant dès lors pas le flanc à la critique, le sursis partiel portant sur 12 mois et le délai d’épreuve de 3 ans seront également confirmés.</w:t>
      </w:r>
    </w:p>
    <w:p>
      <w:r>
        <w:rPr>
          <w:b/>
        </w:rPr>
        <w:t>E. 5.1</w:t>
      </w:r>
    </w:p>
    <w:p>
      <w:r>
        <w:t>L’appelant s’oppose à son expulsion du territoire suisse prononcée par les premiers juges pour une durée de 8 ans. Invoquant sa situation familiale, et en particulier l’art.</w:t>
      </w:r>
    </w:p>
    <w:p>
      <w:r>
        <w:rPr>
          <w:b/>
        </w:rPr>
        <w:t>E. 5.2</w:t>
      </w:r>
    </w:p>
    <w:p>
      <w:r>
        <w:t>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Il peut exceptionnellement être renoncé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(art. 66a al. 2 CP).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(TF 6B_143/2019 du 6 mars 2019 consid. 3.3.1 ; TF 6B_724/2018 du 30 octobre 2018 consid. 2.3.2 ; TF 6B_371/2018 du 21 août 2018 consid. 2.5).</w:t>
      </w:r>
    </w:p>
    <w:p>
      <w:r>
        <w:rPr>
          <w:b/>
        </w:rPr>
        <w:t>E. 5.3</w:t>
      </w:r>
    </w:p>
    <w:p>
      <w:r>
        <w:t>Comme en a statué le Tribunal correctionnel, il s’agit d’un cas d’expulsion obligatoire selon l’art. 66a al. 1 let. h CP, ce que l’appelant ne conteste pas. Les premiers juges ont exclu l'application de la clause de rigueur (cf. jugement entrepris, pp. 37 et 38) en relevant les éléments qui suivent. Le prévenu est arrivé d'Equateur à 18 ans après avoir terminé sa formation en obtenant un diplôme en informatique (PV aud. 1, p. 2). Si certains de ses frères et soeurs vivent en Suisse, sa mère et la moitié de sa fratrie sont demeurées en Equateur. Le prévenu s'y rend tous les deux ans. Il parle l'espagnol et son passeport équatorien est valable. Il a pour plus de 100'000 fr. de dettes. Dans le passé, il a effectué quelques missions temporaires. Il ne travaille pas, mais vit d'aide sociale depuis plusieurs années. Chaque fin semaine, à partir du jeudi soir, il fréquente les boîtes de nuit. Comme points d'attache, outre la durée de son séjour en Suisse, il invoque sa relation avec ses trois enfants mineurs qui vivent ici et qui possèdent la nationalité suisse, à l'entretien desquels il ne contribue pas et dont les dates de naissance lui échappent, sauf celle de la cadette. Le prévenu n'a toutefois pas encore formellement reconnu, ni même débuté les démarches en ce sens, les deux derniers âgés de 3 et 6 ans. Le Tribunal correctionnel a considéré sur la base de ces éléments que le prévenu n'était pas intégré en Suisse et que compte tenu de l'importance du bien juridique lésé par son crime – l'intégrité sexuelle d'une mineure – la sécurité publique devait l'emporter sur son intérêt privé au maintien de ses relations actuelles avec ses enfants. L'appelant combat son expulsion en minimisant son crime et ses antécédents, en insistant sur ses liens avec ses enfants [...] (9 ans), [...] (6 ans) et [...] (3 ans). Il produit des photographies le montrant en leur compagnie (cf. P. 68/1/4) et une attestation de leur mère confirmant sa paternité et indiquant qu'il les voit deux fois par semaine (P. 68/1/3), ce que cette dernière a confirmé lors de son audition aux débats d’appel. Fin avril 2021, le prévenu a entamé des démarches auprès de l'état civil en vue d'établir sa paternité (P. 68/1/5). L'appelant produit également quelques documents relatifs à ses activités lucratives antérieures irrégulières (cf. P. 68/1/6). Il se prévaut d'un contrat de travail débutant le 15 mai 2021, lui assurant un salaire de 3'900 fr. brut pour une activité à 100 %, comme logisticien et chauffeur, au service d'une entreprise d'électricité à la Tour-de-Peilz (cf. P. 68/1/8). Enfin, en ce qui concerne sa vie nocturne, il produit divers flyers annonçant ses prestations de DJ et chanteur (cf. P68/1/7). Il y a lieu relever que les démarches les plus importantes – reconnaissance de deux enfants et exercice d'une activité lucrative – n'ont été initiées que sous la pression du jugement de première instance prononçant l'expulsion, si bien que si cette menace s'évanouit les incitations qu'elle a générées pourraient également disparaître. En l’occurrence, le constat des premiers juges ne peut qu'être partagé : l'appelant n'est pas intégré. Il est venu en Suisse à l'âge de 18 ans avec un visa de tourisme (cf. jugement entrepris, p. 23). Il a donc vécu clandestinement en Suisse jusqu'à son mariage en 2002 qui lui a permis d'obtenir un permis de séjour, puis un permis C depuis 2005. Dans le décompte des années passées en Suisse, on ne saurait inclure les deux premières années de séjour illicite si bien qu'il faut considérer qu'il a passé moins de temps en Suisse (19 ans) qu'à l'étranger (20 ans). Quant aux dettes et au travail, l’appelant a déclaré dans sa première audition ce qui suit : « Actuellement, je vis du social, je reçois environ 2'000 francs. Mon loyer, de 1'300 fr. environ est pris en charge comme mon assurance maladie. J'ai des poursuites pour un montant d'environ 110'000 fr., pour des factures impayées des impôts et d'assurances. (…) Vous me demandez depuis combien de temps je ne travaillais pas. Environ 4 ans. C'était difficile pour moi, car dès que je gagnais de l'argent, il partait pour les dettes » (PV aud. 1, p. 3). Ainsi, l’intégration en Suisse de l’appelant, qui bénéfice de prestations sociales en ne travaillant qu’épisodiquement et vit sans remplir ses obligations, ni entretenir sérieusement ses enfants ni amortir ses dettes, n’est manifestement pas bonne. Si le lien affectif aux enfants est réel, celui-ci pourra être maintenu sous une forme différente par des déplacements hors de Suisse et des communications avec des moyens informatiques modernes. Au surplus, le retour en Equateur ne placera pas l'appelant dans des conditions difficiles. Il pourra y œuvrer avec l'aide des siens dans la vie nocturne ou comme chauffeur, notamment. La balance des intérêts public et privé impose de confirmer l'expulsion. 6. En définitive, l’appel de B.________ doit être rejeté et le jugement entrepris confirmé. Me Angelo Ruggiero, défenseur d'office de l'appelant – avant que ce dernier mandate un défenseur de choix en la personne de Me Laurent Pfeiffer –, a produit une liste d'opérations indiquant 2 heures d’activité. Au tarif horaire de 180 fr., plus 2 % pour les débours forfaitaires (art. 2, 3 et 3bis RAJ [Règlement sur l'assistance judiciaire en matière civile du 7 décembre 2010 ; BLV 211.02.3] par renvoi de l'art. 26b TFIP [Tarif des frais de procédure et indemnités en matière pénale du 28 septembre 2010 ; BLV 312.03.1]), l'indemnité d'office s'élève à 395 fr. 50, TVA comprise. Aucune indemnité de l'art. 429 CPP ne sera allouée à l’appelant, vu la confirmation de sa condamnation. La liste des opérations produite par Me Coralie Devaud, conseil juridique gratuit de la plaignante, indiquant 4.9 heures de travail effectué par elle-même et 10.9 heures de travail effectué par l’avocate-stagiaire, est admise. Au tarif horaire de 180 fr. pour l'avocate et de 110 fr. pour l'avocate-stagiaire, le défraiement s'élève à 1'542 fr., auquel il faut ajouter 2 % pour les débours forfaitaires, soit 30 fr. 85, et 80 fr. pour la vacation de l'audience d'appel. L'indemnité d'office s'élève ainsi à 1'780 fr. 10, TVA comprise. Vu l’issue de la cause, les frais de la procédure d’appel, soit l’émolument de jugement, par 3’230 fr. (art. 21 al. 1 et 2 TFIP), l'indemnité du défenseur d'office de l'appelant, par 395 fr. 50, et l'indemnité du conseil juridique gratuit de la plaignante, par 1'780 fr. 10, soit au total 5'405 fr. 60, seront mis à la charge de l'appelant, qui succombe (art. 428 al. 1 CPP). L’appelant ne sera tenu de rembourser à l’Etat l’indemnité en faveur de son défenseur d'office et l’indemnité du conseil juridique gratuit de la plaignante que lorsque sa situation financière le permettra (art. 135 al. 4 let. a CPP).</w:t>
      </w:r>
    </w:p>
    <w:p>
      <w:r>
        <w:rPr>
          <w:b/>
        </w:rPr>
        <w:t>E. 8</w:t>
      </w:r>
    </w:p>
    <w:p>
      <w:r>
        <w:t>CEDH (Convention de sauvegarde des droits de l’homme et des libertés fondamentales du 4 novembre 1950 ; RS 0.101), ainsi que la durée de sa présence en Suisse, il fait valoir que les conditions d’application de la clause de rigueur au sens de l’art. 66a al. 2 CP seraient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