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287 vom 16. Juni 2021</w:t>
      </w:r>
    </w:p>
    <w:p>
      <w:r>
        <w:t>VD Tribunal cantonal, 2021-06-16, FR</w:t>
      </w:r>
    </w:p>
    <w:p>
      <w:r>
        <w:rPr>
          <w:b/>
        </w:rPr>
        <w:t xml:space="preserve">Quelle: </w:t>
      </w:r>
      <w:r>
        <w:t>https://mcp.opencaselaw.ch/entscheid/vd_findinfo_Jug___2021___287</w:t>
      </w:r>
    </w:p>
    <w:p>
      <w:r>
        <w:t>FR: VD_FINDINFO Jug / 2021 / 287 du 16 juin 2021</w:t>
      </w:r>
    </w:p>
    <w:p>
      <w:r>
        <w:t>IT: VD_FINDINFO Jug / 2021 / 287 del 16 giugno 2021</w:t>
      </w:r>
    </w:p>
    <w:p>
      <w:pPr>
        <w:pStyle w:val="Heading2"/>
      </w:pPr>
      <w:r>
        <w:t>Regeste</w:t>
      </w:r>
    </w:p>
    <w:p>
      <w:r>
        <w:t>ESCROQUERIE, PAR MÉTIER, PEINE D'ENSEMBLE, PEINE PRIVATIVE DE LIBERTÉ, VOL{DROIT PÉNAL}, FILOUTERIE D'AUBERGE, SURSIS À L'EXÉCUTION DE LA PEINE, CONCOURS D'INFRACTIONS | 146 al. 1 CP, 146 al. 2 CP, 41 CP, 42 al. 1 CP, 43 al. 1 CP, 49 al. 1 CP, 49 al. 2 CP</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S.________ et de G.________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S.________</w:t>
      </w:r>
    </w:p>
    <w:p>
      <w:r>
        <w:rPr>
          <w:b/>
        </w:rPr>
        <w:t>E. 3.1</w:t>
      </w:r>
    </w:p>
    <w:p>
      <w:r>
        <w:t>L’appelant conteste la qualification d’escroquerie s’agissant de certains faits qui lui sont imputés. Il argue que le simple fait de conclure un contrat sans avoir l'intention de l'honorer ne saurait être, de manière schématique, constitutif d'une escroquerie et que l'acte d'accusation se bornerait, dans de nombreux cas, à affirmer l'absence d'intention d'honorer un engagement, sans fournir le moindre élément objectif permettant de retenir cet élément constitutif. Rien ne permettrait en réalité d’établir son absence d'intention de régler les factures, alors qu’il aurait toujours fait part de sa volonté de s’en acquitter. Il en irait ainsi s’agissant des cas 3 (repris sous point C.3.1 supra ), 12 (repris sous point C.3.10 supra ), 17 (repris sous point C.3.13 supra ) et 26 (repris sous point C.3.22 supra ) de l’acte d’accusation. Dans ces cas, les montants en jeu seraient modestes et s'étaleraient sur plusieurs années. S'agissant du cas concernant K.________ (cas 4 de l’acte d’accusation, repris sous point C.3.2 supra ), qui lui a prêté la somme totale de 25'000 fr., l'appelant soutient qu’il aurait eu l'intention de la rembourser. Il relève par ailleurs qu’au moment des faits, il ne connaissait K.________ que virtuellement et que depuis une année, pour s’échanger des recettes de cuisine sur Facebook, et que celle-ci n'aurait procédé à aucune vérification s'agissant de sa prétendue entreprise de transport et de ses comptes prétendument bloqués. La légèreté de son interlocutrice devrait conduire à ne pas retenir l'astuce. Au surplus, s'agissant du cas de [...] (cas 7 de l’acte d’accusation, repris sous point C.3.5 supra ), l’appelant fait valoir que celui-ci aurait été rompu aux affaires et qu’il n’aurait pas procédé aux vérifications usuelles, malgré la grossièreté des affirmations du prévenu, et le fait qu’ils n’entretenaient pas de relation particulière. Là encore, l'astuce ne saurait donc être retenue. Enfin, s'agissant du cas 19 de l’acte d’accusation (repris sous point C.3.15 supra ), il n'y aurait pas de rapport entre les fausses affirmations de l'appelant et l'acte lésant le patrimoine de la dupe (absence de « rapport de motivation »), [...] ayant admis que son entreprise aurait de toute manière effectué les transports litigieux.</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Petit commentaire, Code pénal, 2 e éd., Bâle 2017, n. 17 ad art. 146 CP). L'erreur de la dupe provoquée par la tromperie astucieuse doit l'avoir déterminée à effectuer des actes préjudiciables à ses intérêts pécuniaires ou à ceux d'un tiers. Il doit exister un rapport de causalité ou de motivation entre l'erreur et la disposition patrimoniale. L'acte de disposition peut résulter aussi bien d'une action que d'une omission de la dupe, qui entraîne la diminution de son patrimoine de manière indirecte (Dupuis et al., op. cit., n. 32 ad art. 146 CP et les réf. citées).</w:t>
      </w:r>
    </w:p>
    <w:p>
      <w:r>
        <w:rPr>
          <w:b/>
        </w:rPr>
        <w:t>E. 3.3</w:t>
      </w:r>
    </w:p>
    <w:p>
      <w:r>
        <w:t>En l'espèce, s’agissant du cas 3 de l’acte d’accusation, il ressort du rapport d'investigation de la police (P. 97) que le patron du garage [...] SA a été contacté téléphoniquement et a déclaré qu’il avait effectué des travaux pour S.________ en se basant sur le rapport de confiance qu’il entretenait avec le père de celui-ci. Il avait ainsi dispensé le prévenu de payer comptant, alors qu’il l’exigeait normalement de ses nouveaux clients. Deux factures ont été émises, pour des sommes respectives de 1'941 fr. 35 et 760 fr. 85 (P. 97/1). Les factures sont adressées à l'appelant, pour adresse chez son père. L’appelant n'a pas été entendu par la police sur ces faits. Dans son audition récapitulative devant le Ministère public, il a déclaré qu’il avait toujours eu l'intention de payer son dû et vouloir régler cette facture bientôt (PV aud. 43, lignes 55-58). Les faits se sont déroulés en mai 2014, soit plus de deux ans avant les autres cas reprochés à l’appelant, qui se suivent ensuite de manière rapprochée. Ils ne semblent ainsi pas relever d’un même modus operandi à une époque donnée. L’appelant n’a pas menti en se présentant comme le fils de [...]. Vu l’absence de lien temporel avec les autres cas, il n’est par ailleurs pas suffisamment établi qu’il avait l’intention de ne pas s’acquitter de son dû. Au vu de ce qui précède, le doute doit dans ce cas profiter au prévenu, qui sera libéré du chef d’accusation d’escroquerie s’agissant des faits relatés sous point C.3.1 ci-dessus. S'agissant du cas 12, soit de la commande de « tout venant » à l'entreprise [...] S.A. pour un montant de 1'606 fr. 50 (P. 97, p. 35), l'appelant a certes également déclaré vouloir payer (PV aud. 43, ligne 130). Il en est de même s’agissant du cas 17, soit de la commande et de la réception de vingt pièces à l’entreprise de génie civile F.________ SA, pour un montant de 799 fr. 20 (cf. PV aud. 43, ligne 169). Toutefois, les faits, commis respectivement les 7 mars et 25 août 2017, s’inscrivent ici dans une série d’escroqueries, contrairement au cas 3. Le cas 12 constitue une unité avec le cas 11 de l’acte d’accusation (repris sous point C.3.9 supra ), commis le même jour au détriment de la même plaignante. Si le prévenu avait de mauvaises intentions dans le cas 11, on peine à croire qu’il en aurait eu de bonnes dans le cas 12. L’appréciation de la situation doit être similaire pour ce qui est du cas 17, qui s’inscrit dans la même période que la filouterie d’auberge du cas 18 (cf. point C.3.14 supra ). En outre, il est établi que la situation de l’appelant est largement obérée. Il procède toujours de la même manière, en déclarant qu’il a l’intention de payer alors qu’il est dans l’impossibilité matérielle de le faire. L’escroquerie est réalisée et le jugement entrepris doit être confirmé s’agissant des cas 12 et 17. Dans le cadre du cas 26, l'appelant, entre le 6 et le 18 juillet 2018, a passé quatre commandes de pièces auprès de la société E.________ SA, à [...]. Ces commandes ont été effectuées au nom de son père, [...], client régulier du garage. Lorsque le père a été contacté, il a indiqué que les pièces n'étaient pas pour lui et « qu'il en avait rien à foutre des conneries de son fils », selon les déclarations de [...], représentant de la plaignante (PV aud. 21, R. 5). Dans ces circonstances, il faut retenir l'astuce, dès lors que l'appelant a exploité le lien de confiance qui unissait le garage à son père. En outre, le fait de commander au nom d'un tiers alors que les pièces étaient pour lui démontre qu'il avait dès le départ l'intention de se soustraire au paiement de la marchandise. Ainsi, l'escroquerie est réalisée pour ce cas 26. S'agissant des cas 4 et 7, soit des prêts obtenus auprès de K.________ et [...], on ne peut pas considérer que les dupes auraient dû procéder à de plus amples vérifications. La première connaissait l'appelant depuis 2015, certes uniquement via les réseaux sociaux. Ils avaient toutefois une liste d'amis Facebook en commun, notamment dans le domaine des transporteurs et de la restauration. La plaignante a déclaré qu'elle trouvait le prévenu agréable, drôle et un peu farceur, et qu'ils se téléphonaient parfois (PV aud. 28, R. 5 p. 2). S’il est vrai qu’elle ne s'est pas montrée très méfiante lorsque l'appelant lui a dit que ses comptes étaient bloqués et qu'il avait besoin d'argent, il y a lieu de relever que ce dernier lui avait dit à plusieurs reprises qu'il avait une entreprise de transport, qu'il travaillait beaucoup et qu’il s'était mis à pleurer au téléphone, lui téléphonant toutes les heures et lui disant qu'il n'avait qu'elle (PV aud. 28, R. 5 p. 3). Il ne fait aucun doute que l'appelant a flairé que K.________ n'était pas très rompue aux affaires, voire un peu naïve, que c'était une proie facile et qu'il pouvait utiliser la confiance installée entre eux, alors même qu'ils ne s'étaient jamais rencontrés autrement que virtuellement. Dans ces circonstances, on ne pouvait pas exiger de K.________ qu'elle procède à des vérifications concernant la situation de son emprunteur. S'agissant de [...], l'appelant a cumulé trois mensonges pour obtenir son prêt, à savoir qu'il avait une entreprise de terrassement, qu'il devait payer le salaire de ses employés et qu'il le rembourserait, reconnaissance de dette à l'appui. Lors de son audition, [...] a déclaré qu’il connaissait l'appelant quand il était petit, puis l'avait perdu de vue. Quand il l'avait revu à [...], l'appelant lui avait proposé d'aller boire un café. Il avait tout fait pour le mettre en confiance, « jouait au Grand James en payant des verres au gens » (PV aud. 2, R. 5), « a dit qu'il était marié avec la fille du patron du Golf de Payerne, qu'il était grand ami avec Bernard NICOD » (PV aud. 25, R. 6). Ce stratagème de mise en confiance auprès d'un tiers qui l'a connu quand il était enfant et avec lequel il a entretenu un lien suffit à retenir que la dupe était dispensée de procéder à des vérifications supplémentaires. Ainsi, l'escroquerie est réalisée pour les cas 4 et 7, comme retenu par le Tribunal correctionnel. Enfin, s'agissant de l'absence de lien de causalité entre l'astuce et l'acte préjudiciable pour le cas de N.________ SA (cas 19), l'appelant fait grand cas des déclarations de [...], dès lors que celui-ci a indiqué que sa société aurait accepté de faire les transports pour lui, sans acompte, même s'il n'avait pas eu d'entreprise (PV aud. 22, R. 5 p. 5). Il s’agit toutefois d’une lecture tronquée des déclarations du prénommé, dès lors que celui-ci a immédiatement ajouté qu'ils travaillaient toutefois assez peu pour des particuliers. Par ailleurs, il a également déclaré qu'après la commande de l'appelant, il avait contrôlé sur Internet que l'entreprise [...] existait bien et qu'il en avait trouvé une portant ce nom dans le canton de Fribourg. Cela démontre bien que la dupe ne se serait pas engagée avec n'importe quel particulier, même s'il s'agissait de montants relativement modestes en comparaison des commandes usuelles qu’elle était susceptible de traiter, et que l'astuce, à savoir se présenter au personnel de la société N.________ SA en tant que marchand de ferraille à la tête d'une entreprise « [...] » a bel et bien causé le préjudice résultant des factures impayées, soit 22'702 fr. 35. Ainsi, l'escroquerie est réalisée pour le cas 19, comme retenu par les premiers juges.</w:t>
      </w:r>
    </w:p>
    <w:p>
      <w:r>
        <w:rPr>
          <w:b/>
        </w:rPr>
        <w:t>E. 4.1</w:t>
      </w:r>
    </w:p>
    <w:p>
      <w:r>
        <w:t>L'appelant soutient que la valeur des prestations obtenues serait largement réduite du fait qu'il devrait être libéré du chef de prévention d’escroquerie s’agissant des cas déjà mentionnés. Cette valeur serait de l'ordre de 35'000 fr. sur une période de plusieurs années, si bien qu'à l'évidence, les conditions de l'aggravante du métier ne seraient pas réunies. L’appelant fait valoir qu’il aurait agi sans système ou plan préétabli et que ses affirmations pour arriver à ses fins étaient changeantes. Il n’aurait ainsi pas mené ses activités à la manière d'une profession.</w:t>
      </w:r>
    </w:p>
    <w:p>
      <w:r>
        <w:rPr>
          <w:b/>
        </w:rPr>
        <w:t>E. 4.2</w:t>
      </w:r>
    </w:p>
    <w:p>
      <w:r>
        <w:t>L'art. 146 al. 2 CP prévoit que, si l'auteur fait métier de l'escroquerie, la peine sera une peine privative de liberté de 10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 Les seules infractions tentées ne réalisent pas cette condition. Le fait que la tentative est absorbée par le délit consommé par métier lorsque l'auteur a commis plusieurs tentatives et des délits consommés (ATF 123 IV 113 consid. 2d ; ATF 107 IV 172 consid. 4 ; ATF 105 IV 157 consid. 2) ne s'oppose pas à ce principe (TF 6B_1141/2017 du 7 juin 2018 consid. 3.1 ; TF 6B_117/2015 du 11 février 2016 consid. 24.1).</w:t>
      </w:r>
    </w:p>
    <w:p>
      <w:r>
        <w:rPr>
          <w:b/>
        </w:rPr>
        <w:t>E. 4.3</w:t>
      </w:r>
    </w:p>
    <w:p>
      <w:r>
        <w:t>En l’espèce, nonobstant l’abandon de la qualification d’escroquerie pour le cas 3 de l’acte d’accusation, l’activité délictuelle de l’appelant a été intense et rémunératrice. L'escroquerie a été consommée à dix-neuf reprises (cf. points C.3.2 à C.3.8, C.3.10 à C.3.13, C.3.15, C.3.16, C.3.22 à C.3.27 supra ), pour un préjudice d’environ 123'000 fr., sur une période de trois ans, s’étalant de juillet 2016 à juillet 2019. L’appelant a donc réalisé un revenu notable et s’est installé dans la délinquance, flairant toute nouvelle et providentielle source de revenu pour subvenir à ses besoins. Ces éléments sont largement suffisants pour considérer que l’aggravante du métier, au sens de l’art. 146 al. 2 CP, est réalisée.</w:t>
      </w:r>
    </w:p>
    <w:p>
      <w:r>
        <w:rPr>
          <w:b/>
        </w:rPr>
        <w:t>E. 5.1</w:t>
      </w:r>
    </w:p>
    <w:p>
      <w:r>
        <w:t>L'appelant fait valoir que pour les cas 11 et 18 de l’acte d’accusation, soit le vol et la filouterie d'auberge, non contestés, seules des peines pécuniaires complémentaires pouvaient sanctionner son comportement. Les juges de première instance n’auraient dès lors pas pu prononcer une peine d'ensemble.</w:t>
      </w:r>
    </w:p>
    <w:p>
      <w:r>
        <w:rPr>
          <w:b/>
        </w:rPr>
        <w:t>E. 5.2.1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5.2.2</w:t>
      </w:r>
    </w:p>
    <w:p>
      <w:r>
        <w:t>supra ). A cet égard, force est de constater que l'appelant est un multirécidiviste. Entre 2013 et 2017, il a fait l’objet de sept condamnations pour des infractions variées, dont abus de confiance, escroquerie et de nombreuses infractions à la Loi fédérale sur la circulation routière. Il y a lieu d’y ajouter une dernière condamnation à une peine privative de liberté de 120 jours pour abus de confiance, vol et escroquerie, survenue le 10 novembre 2020 et que le Tribunal de première instance n’a pas mentionné dans son jugement. L’argument de l’appelant, selon lequel il n’occuperait plus la justice pénale, tombe dès lors à faux. Les peines pécuniaires précédemment infligées n'ont assurément pas atteint le but escompté. Le Ministère public ne s’y est d’ailleurs pas trompé en prononçant, le 10 novembre 2020, une peine privative de liberté. Il est dès lors manifeste que seule une peine privative de liberté entre en considération pour réprimer le comportement délictueux de G.________. L’ensemble des faits pour lesquels l’appelant doit être sanctionné est antérieur à la condamnation du 10 novembre 2020. On se trouve donc en présence d’un concours rétrospectif. Pour l’abus de confiance, le vol et l’escroquerie condamnés par ordonnance pénale du 10 novembre 2020, le Ministère public de l’arrondissement de La Côte a prononcé une peine privative de liberté de 120 jours (4 mois). Les juges de première instance ont pour leur part prononcé une peine privative de liberté de 2 mois pour sanctionner deux escroqueries, deux faux dans les titres, un usage abusif de plaques de contrôle et une usurpation de plaques de contrôle. Force est de constater qu’une peine privative de liberté d’ensemble de 6 mois pour punir la totalité de ces infractions est particulièrement clémente et qu’il aurait fallu prononcer une peine complémentaire plus conséquente, de l’ordre de 6 mois. L’interdiction de la reformatio in pejus impose toutefois d’en rester à la peine privative de liberté de 2 mois infligée par le tribunal de première instance. Reste la question d'un éventuel sursis, l'appelant indiquant s'être réinséré professionnellement et avoir remboursé ses dettes. Certes, le prévenu a un travail et rembourse ses dettes par le biais d’une saisie de salaire mensuelle de 1'700 fr., opérée par l’office des poursuites. Il n’en demeure pas moins qu’entre le 8 octobre 2020 et le 8 juin 2021, ses poursuites auprès de l’Office du Gros-de-Vaud ont augmenté de plus de 100'000 fr., passant de 80'162 fr. 95 à 192'528 fr. 10 (P. 189 et 268). Vu les antécédents, le pronostic est clairement défavorable. Il ne se justifie dès lors pas d’assortir la peine prononcée d’un sursis. III. Conclusions, frais et indemnités</w:t>
      </w:r>
    </w:p>
    <w:p>
      <w:r>
        <w:rPr>
          <w:b/>
        </w:rPr>
        <w:t>E. 5.3</w:t>
      </w:r>
    </w:p>
    <w:p>
      <w:r>
        <w:t>En l'occurrence, les premiers juges ont condamné l'appelant à une peine privative de liberté de 30 mois, sous déduction des 392 jours de détention avant jugement. Il s'agit d'une peine d'ensemble. Le Tribunal de première instance a en effet considéré, à juste titre, que l’escroquerie par métier était l’infraction la plus grave et devait être sanctionnée par une peine privative de liberté de base de 26 mois, pour ensuite augmenter cette peine – d’une durée qu’on déduit de 4 mois – pour le vol et la filouterie d’auberge (jugement, p. 84). Le vol est passible d'une peine privative de liberté de 5 ans au plus ou d’une peine pécuniaire (art. 139 ch. 1 CP), et la filouterie d'auberge d'une peine privative de liberté de 3 ans au plus ou d’une peine pécuniaire (art. 149 CP). Contrairement à ce que soutient l'appelant, c'est à bon droit que les premiers juges ont choisi une peine privative de liberté pour sanctionner ces deux infractions. Ce choix se justifie pour des motifs de prévention spéciale, l’appelant ayant de nombreux antécédents en matière d’infractions contre le patrimoine. En outre, le vol et la filouterie d’auberge s’inscrivent dans le même objectif global d’obtenir des prestations sans les payer. Une peine pécuniaire ne serait donc manifestement pas suffisante pour détourner l’intéressé de la commission de nouvelles infractions. S'agissant de peines de même genre que celle infligée pour l'escroquerie, les premiers juges pouvaient condamner l'appelant à une peine d'ensemble. Partant, le moyen de l’appelant doit être rejeté.</w:t>
      </w:r>
    </w:p>
    <w:p>
      <w:r>
        <w:rPr>
          <w:b/>
        </w:rPr>
        <w:t>E. 6.1</w:t>
      </w:r>
    </w:p>
    <w:p>
      <w:r>
        <w:t>Fondé sur ses précédents arguments, à savoir qu’il devrait être libéré de nombreuses infractions, que le vol et la filouterie d'auberge devraient être sanctionnés d'une peine pécuniaire et que l'aggravante du métier ne devrait pas être retenue, l’appelant soutient que seule une peine privative de 15 mois pourrait être prononcée et que le sursis, à tout le moins partiel, aurait dû être octroyé. A cet égard, les juges de première instance n’auraient manifestement pas tenu compte de l'ensemble des éléments pour émettre un pronostic, lequel serait en réalité nettement moins défavorable que celui retenu. L'appelant relève qu’il aurait présenté ses excuses aux plaignants en envoyant de nombreuses lettres, qu’il s'est reconnu débiteur de nombreuses dettes, qu’il n'aurait fait l'objet d'aucun reproche depuis sa sortie de détention et qu’il rechercherait activement une activité professionnelle.</w:t>
      </w:r>
    </w:p>
    <w:p>
      <w:r>
        <w:rPr>
          <w:b/>
        </w:rPr>
        <w:t>E. 6.2</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l'appelant (cf. art. 2 al. 2 CP ; TF 6B_44/2020 du 16 septembre 2020 consid. 8.1 ; TF 6B_112/2018 du 27 septembre 2019 consid. 1.2 ; TF 6B_658/2017 du 30 janvier 2018 consid. 1.1).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arrêt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w:t>
      </w:r>
    </w:p>
    <w:p>
      <w:r>
        <w:rPr>
          <w:b/>
        </w:rPr>
        <w:t>E. 6.3</w:t>
      </w:r>
    </w:p>
    <w:p>
      <w:r>
        <w:t>Dans le cas d’espèce, l’appelant n’est libéré que pour le cas 3 de l’acte d’accusation. L’aggravante par métier est confirmée et le vol et la filouterie d’auberge doivent bien être sanctionnés par des peines privatives de liberté. La culpabilité de l'appelant est lourde. Il a en effet fait montre d’une absence totale de scrupules, ayant agi pour des motifs égoïstes et par cupidité. Du fait de ses antécédents de même nature et de ses récidives encore en cours d’enquête, il apparaît en outre ancré dans la délinquance. Il présente enfin une absence totale de prise de conscience de la gravité de son comportement. Au vu de ces éléments, c’est de manière parfaitement justifiée que les premiers juges ont estimé que l’escroquerie par métier, qui forme une unité, devait être sanctionnée par une peine privative de liberté de 26 mois. Cette peine doit être augmentée de 3 mois pour la filouterie d’auberge et d’un mois pour le vol. C’est donc bien une peine privative de liberté d’ensemble de 30 mois qui doit être prononcée pour réprimer le comportement délictueux de l’appelant. Enfin, l'appelant ne remplit pas les conditions du sursis. Il n’admet pas ses torts, a des antécédents et présente ainsi un risque élevé de récidive. Il ne suffit par ailleurs pas d’écrire des lettres d’excuse, de se reconnaître débiteur et de déclarer être à la recherche d'un emploi pour que le pronostic soit favorable, ce d’autant que concrètement, l’appelant n’a rien mis en œuvre pour réparer le dommage causé. Un sursis partiel n’entre dès lors pas en considération. II. Appel de G.________</w:t>
      </w:r>
    </w:p>
    <w:p>
      <w:r>
        <w:rPr>
          <w:b/>
        </w:rPr>
        <w:t>E. 7.1</w:t>
      </w:r>
    </w:p>
    <w:p>
      <w:r>
        <w:t>L'appelant ne conteste que la peine privative de liberté ferme de deux mois qui lui a été infligée, faisant valoir qu’elle serait excessivement sévère. Il soutient que le Tribunal correctionnel n’aurait pas motivé de façon circonstanciée son choix de ne pas lui accorder le sursis, n’examinant pas le pronostic. Par ailleurs, la motivation serait contradictoire et se heurterait aux éléments à décharge retenus. L’appelant prétend qu’il aurait changé et qu’il n’aurait plus fait parler de lui sur le plan pénal. Il se serait pleinement investi dans son nouvel emploi et rembourserait ses dettes. Dans de telles circonstances, une peine pécuniaire serait adéquate et suffisante pour le sanctionner. Enfin, alors même qu'il a reconnu les infractions dont il était accusé, la procédure aurait été extrêmement lente et le temps écoulé entre la commission des infractions et le jugement du Tribunal correctionnel aurait été mis au profit d'une réinsertion qu'il ne faudrait désormais pas mettre en péril.</w:t>
      </w:r>
    </w:p>
    <w:p>
      <w:r>
        <w:rPr>
          <w:b/>
        </w:rPr>
        <w:t>E. 7.2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7.3</w:t>
      </w:r>
    </w:p>
    <w:p>
      <w:r>
        <w:t>En l’occurrence, le Tribunal de première instance a considéré que la faute du prévenu G.________ était importante, qu’il n'avait eu aucun scrupule et avait agi par seul appât du gain ou pour obtenir des avantages, qu'il avait récidivé malgré sept condamnations, que sa collaboration à l'enquête n'avait rien eu d'exceptionnel et que le préjudice n'était pas négligeable. A décharge, il a retenu que le prévenu n’avait plus fait l’objet de plainte depuis juillet 2019 (jugement, p. 87). La faute de l'auteur n'est de toute manière pas déterminante lorsqu'il s'agit de choisir une courte peine privative de liberté en lieu et place d'une peine pécuniaire, seuls devant être pris en compte l'adéquation de la peine et son impact sur l'auteur des infractions (cf. consid.</w:t>
      </w:r>
    </w:p>
    <w:p>
      <w:r>
        <w:rPr>
          <w:b/>
        </w:rPr>
        <w:t>E. 8.1</w:t>
      </w:r>
    </w:p>
    <w:p>
      <w:r>
        <w:t>En définitive, l’appel de S.________ doit être très partiellement admis, en ce sens qu’il est libéré du chef de prévention d’escroquerie s’agissant du cas 3 de l’acte d’accusation, alors que celui de G.________ doit être rejeté.</w:t>
      </w:r>
    </w:p>
    <w:p>
      <w:r>
        <w:rPr>
          <w:b/>
        </w:rPr>
        <w:t>E. 8.2</w:t>
      </w:r>
    </w:p>
    <w:p>
      <w:r>
        <w:t>Vu la réforme minime qu’engendre la faible admission de l’appel de S.________, et le fait que ce dernier demeure condamné pour vol, escroquerie par métier et filouterie d’auberge, il n’y a pas lieu de modifier la répartition des frais de première instance, qui sera confirmée.</w:t>
      </w:r>
    </w:p>
    <w:p>
      <w:r>
        <w:rPr>
          <w:b/>
        </w:rPr>
        <w:t>E. 8.3</w:t>
      </w:r>
    </w:p>
    <w:p>
      <w:r>
        <w:t>La requête d’assistance judiciaire et de désignation d’un défenseur d’office formée par G.________ est superflue. En effet, le droit à une défense d’office vaut pour toutes les étapes de la procédure (Harari/Jakob/Santamaria, in : Jeanneret/Kuhn/Perrier Depeursinge [éd.], Commentaire romand, Code de procédure pénale, 2 e éd., Bâle 2019,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en matière civile (Code de procédure civile du 19 décembre 2008 ; RS 272). Sur la base de la liste des opérations produite par Me Jérôme Reymond (P. 263), dont il n’y a pas lieu de s’écarter si ce n’est pour tenir compte du temps effectif consacré à l’audience du 16 juin 2021, d’une durée d’une heure, une indemnité pour la procédure d’appel d’un montant de 3'309 fr. 50, correspondant à 16 heures et 5 minutes de travail d’avocat au tarif horaire de 180 fr., par 2'895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57 fr. 90, une vacation, par 120 fr., et la TVA, par 236 fr. 60, sera allouée au défenseur d’office de S.________. Sur la base de la liste des opérations produite par Me Radivoje Stamenkovic (P. 264), dont il n’y a pas lieu de s’écarter s’agissant des heures comptabilisées, si ce n’est pour tenir compte du temps effectif consacré à l’audience d’appel, c’est une indemnité de 1'562 fr. 85, correspondant à 7 heures et 15 minutes d’activité au tarif horaire de 180 fr., par 1'305 fr., des débours – limités forfaitairement à 2 % du défraiement hors taxe en deuxième instance – par 26 fr. 10, une vacation, par 120 fr., et la TVA, par 111 fr. 75, qui sera allouée au défenseur d’office de G.________ pour la procédure d’appel. Les frais de la procédure d’appel s’élèvent à 8'902 fr. 35 et sont constitués de l’émolument d’audience et de jugement, par 4'030 fr. (art. 21 al. 1 et 2 TFIP), ainsi que des indemnités allouées aux défenseurs d’office des parties, par 4'872 fr. 35 (3'309.50 + 1'562.85). Vu l’issue de la cause, l’émolument sera mis par quatre cinquièmes à la charge de S.________ et par un cinquième à la charge de G.________ (cf. art. 428 al. 1, 1 re phrase, CPP). Chaque prévenu supportera en outre l’indemnité allouée son propre défenseur d’office. Les appelants ne seront toutefois tenus de rembourser à l’Etat les indemnités de défenseur d'office mises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