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283 vom 15. März 2021</w:t>
      </w:r>
    </w:p>
    <w:p>
      <w:r>
        <w:t>VD Tribunal cantonal, 2021-03-15, FR</w:t>
      </w:r>
    </w:p>
    <w:p>
      <w:r>
        <w:rPr>
          <w:b/>
        </w:rPr>
        <w:t xml:space="preserve">Quelle: </w:t>
      </w:r>
      <w:r>
        <w:t>https://mcp.opencaselaw.ch/entscheid/vd_findinfo_Jug___2021___283</w:t>
      </w:r>
    </w:p>
    <w:p>
      <w:r>
        <w:t>FR: VD_FINDINFO Jug / 2021 / 283 du 15 mars 2021</w:t>
      </w:r>
    </w:p>
    <w:p>
      <w:r>
        <w:t>IT: VD_FINDINFO Jug / 2021 / 283 del 15 marzo 2021</w:t>
      </w:r>
    </w:p>
    <w:p>
      <w:pPr>
        <w:pStyle w:val="Heading2"/>
      </w:pPr>
      <w:r>
        <w:t>Regeste</w:t>
      </w:r>
    </w:p>
    <w:p>
      <w:r>
        <w:t>VOL{DROIT PÉNAL}, UTILISATION FRAUDULEUSE D'UN ORDINATEUR, EXPULSION{DROIT PÉNAL}, PAR MÉTIER | 139 ch. 1 CP, 139 ch. 2 CP, 144 al. 1 CP, 147 CP, 186 CP, 66a al. 1 let. c CP, 66a al. 1 let. d CP</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d’abord s’être rendu coupable de vol par métier (art. 139 ch. 2 CP), ainsi que d’utilisation frauduleuse d’un ordinateur par métier (art. 147 al. 2 CP), soit de l’aggravante retenue pour ces deux infractions.</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 exercée par métier (ATF 116 IV 319 consid. 4b p. 331). Contrairement à la circonstance qualifiée prévue en matière de stupéfiants et de blanchiment d'argent (art. 19 al. 2 let. c LStup; art. 305 bis ch. 2 let. c CP; cf. ATF 129 IV 188 consid. 3.1.2 p. 190 ss), l'aggravation du vol par métier n'exige ni chiffre d'affaires ni gain importants (TF 6B_1043/2017 du 14 août 2018 consid. 1.1). Pour admettre le métier, il suffit de constater que l’auteur manifeste un certain professionnalisme (Papaux, in : Macaluso/Moreillon/Queloz [éd.], Commentaire romand, Code pénal II, Art. 111-392 CP, Bâle 2017, n. 65 ad art. 139 CP).</w:t>
      </w:r>
    </w:p>
    <w:p>
      <w:r>
        <w:rPr>
          <w:b/>
        </w:rPr>
        <w:t>E. 3.3</w:t>
      </w:r>
    </w:p>
    <w:p>
      <w:r>
        <w:t>La notion de métier appliquée à l’infraction d’utilisation frauduleuse d’un ordinateur est identique à celle développée au sujet du vol par métier (Dupuis/ Moreillon/Piguet/Berger/Mazou/Rodigari [éd.], Petit commentaire CP, 2 e éd., Bâle 2017, n. 21 ad art. 147 CP; Grodecki, in : Macaluso/Moreillon/Queloz [éd.], op. cit., n. 20 ad art. 147 CP).</w:t>
      </w:r>
    </w:p>
    <w:p>
      <w:r>
        <w:rPr>
          <w:b/>
        </w:rPr>
        <w:t>E. 3.4</w:t>
      </w:r>
    </w:p>
    <w:p>
      <w:r>
        <w:t>Le Tribunal de police a retenu (jugement, p. 11, 12, 13 et 14) que le prévenu avait reconnu qu’il améliorait sa capacité financière par ses infractions (PV aud. 2, R. 10); de plus, son casier judiciaire et ses récidives en cours d’enquête démontraient son installation dans la délinquance, si bien qu’il réalisait l’aggravante du métier pour les deux infractions en cause (p. 12, in initio). L’appelant fait valoir que la fréquence des infractions patrimoniales qu’il a commises, le butin qu’il a obtenu ou envisagé comme apport notable à son train de vie, ainsi que le temps et les moyens qu’il leur a consacrés comme caractérisant une forme de professionnalisme sont insuffisants pour retenir l’aggravante du métier.</w:t>
      </w:r>
    </w:p>
    <w:p>
      <w:r>
        <w:rPr>
          <w:b/>
        </w:rPr>
        <w:t>E. 3.5</w:t>
      </w:r>
    </w:p>
    <w:p>
      <w:r>
        <w:t>La répartition des quatre vols dans le temps permet de constater trois épisodes : deux ont été commis les 11 et 12 février 2019, un autre le 20 mai 2020 et le dernier le 17 juillet 2020. La répartition temporelle des utilisations frauduleuses d’un ordinateur s’aligne sur celle des deux premiers épisodes de vol, dont elle constitue le prolongement. S’agissant de la durée à prendre en compte pour évaluer la fréquence des infractions, la période à considérer s’étend du 11 février 2019 au 17 juillet 2020. De ces quelque 17 mois, il faut déduire les périodes de détention et de séjour à l’étranger. Il s’agit, d’une part, des peines privatives de liberté totalisant 210 jours purgées à raison de 140 jours au Tessin jusqu’à la libération conditionnelle du 1 er juillet 2019 et, d’autre part, des séjours réguliers effectués, depuis la naissance de la fille du prévenu le 23 septembre 2019 (PV aud. 4, p. 5), tous les trois mois (PV aud. 5, p.</w:t>
      </w:r>
    </w:p>
    <w:p>
      <w:r>
        <w:rPr>
          <w:b/>
        </w:rPr>
        <w:t>E. 4</w:t>
      </w:r>
    </w:p>
    <w:p>
      <w:r>
        <w:t>in fine), par l’appelant en Macédoine auprès de sa femme de sa fille, durant la moitié du temps, comme il l’a précisé à l’audience d’appel. De plus pour apprécier la fréquence des infractions, il faut tenir compte des vols de véhicule et de plaques commis en juin 2020 et sanctionnés par l’ordonnance pénale du Ministère public du Canton de Genève du 2 juillet 2020 (P. 21). La période d’infractions par métier s’insère en effet dans une série d’infractions contre le patrimoine, antérieures et postérieures, même si ces dernières infractions n’ont pas été perpétrées par métier. Compte tenu de ces indications, on doit retenir que la fréquence des infractions patrimoniales, échelonnées sur une période réduite de neuf mois et demi environ, était soutenue. Quant au butin, l’appelant a indiqué en cours d’enquête que sa curatrice lui laissait un disponible de 70 fr. par semaine et qu’il commettait des infractions pour compléter ce montant, qu’il tenait pour insuffisant (PV aud. 2, p. 5 in fine). A l’audience d’appel, il a ainsi admis que, s’il avait commis les infractions en cause dans la présente procédure, c’était pour se procurer de l’argent, ajoutant que les 70 fr. hebdomadaires que lui remettait sa curatrice ne suffisaient pas à financer ses loisirs. Il n’a pas envisagé d’autres moyens de se procurer de l’argent. Ces propos sont corroborés par les relevés d’achats réglés par les cartes dérobées. A l’évidence, ces infractions ont procuré un apport notable au financement de son train de vie. S’agissant du mode opératoire, on relève que l’appelant, actif dans les vols à la roulotte, contrôlait systématiquement les portières des véhicules pour voler numéraires, cartes de paiement et véhicules. Pour le surplus, il utilisait les cartes dérobées jusqu’à leur blocage et s’appropriait les véhicules au lieu de se contenter de vols d’usage. Compte tenu du nombre des infractions perpétrées, du mode opératoire éprouvé et du revenu qu'il en a retiré, force est d’admettre que l’appelant s'est installé dans la délinquance, les produits de ses méfaits (vols et utilisations frauduleuse d’un ordinateur) servant de manière non négligeable à la satisfaction de ses besoins. Pour n’être qu'accessoire, l'activité délictueuse de l’appelant, n'a cessé qu'avec son arrestation. On doit en déduire qu’il était déterminé à commettre un nombre indéterminé d'infractions du même genre. L'ensemble de ces éléments commande de confirmer l’aggravante du métier pour les deux infractions en cause.</w:t>
      </w:r>
    </w:p>
    <w:p>
      <w:r>
        <w:rPr>
          <w:b/>
        </w:rPr>
        <w:t>E. 4.1</w:t>
      </w:r>
    </w:p>
    <w:p>
      <w:r>
        <w:t>L’appelant conclut au prononcé d’une peine pécuniaire en lieu et place d’une peine privative de liberté. Cette conclusion n’est formulée qu’en relation avec celle portant sur l’aggravante du métier en rapport avec les infractions de vol et d’utilisation frauduleuse d’un ordinateur, dont il a cependant été vu qu’elle devait être rejetée.</w:t>
      </w:r>
    </w:p>
    <w:p>
      <w:r>
        <w:rPr>
          <w:b/>
        </w:rPr>
        <w:t>E. 4.2</w:t>
      </w:r>
    </w:p>
    <w:p>
      <w:r>
        <w:t>La Cour relève néanmoins d’office que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4.3</w:t>
      </w:r>
    </w:p>
    <w:p>
      <w:r>
        <w:t>Dans le cas particulier, même si le métier n’exclut pas par principe la peine pécuniaire (art. 139 ch. 2 et 147 al. 2 CP), seule une peine privative de liberté entre en considération pour chacune des infractions ici en cause, hormis la contravention, à savoir la violation simple des règles de la circulation routière au sens de l’art. 90 al. 1 LCR, réprimée séparément d’une amende. Le caractère récurrent des condamnations pénales prononcées pour des infractions de même nature révèle en effet que le prévenu est un délinquant d’habitude, insensible à la répression pénale. Son manque de prise de conscience de la gravité de ses actes est en outre confirmé par ses propos à l’audience d’appel. Enfin, les infractions ici en cause ont été commises de manière soutenue et ont procuré à leur auteur un butin important. La prévention spéciale commande d’infliger une peine privative de liberté.</w:t>
      </w:r>
    </w:p>
    <w:p>
      <w:r>
        <w:rPr>
          <w:b/>
        </w:rPr>
        <w:t>E. 5.1</w:t>
      </w:r>
    </w:p>
    <w:p>
      <w:r>
        <w:t>La quotité de la peine privative de liberté n’est contestée qu’en relation avec la conclusion portant sur l’aggravante du métier en rapport avec les infractions de vol et d’utilisation frauduleuse d’un ordinateur. Les facteurs pris en compte à charge et à décharge par le Tribunal de police sont adéquats au regard de l’art. 47 al. 1 CP (jugement, p. 14), vu, notamment, le manque d’amendement de l’auteur, confirmé à l’audience d’appel encore. Partant, il suffit de se référer aux motifs du jugement (art. 82 al. 4 CPP). Faisant sienne la motivation du Tribunal de police (jugement, p. 14 à 16) à cet égard aussi, la Cour tient la faute pour moyenne en raison de la diminution moyenne de la responsabilité pénale (art. 19 al. 2 CP) au regard de l’expertise du 3 décembre 2010. Ce point n’est du reste pas contesté. On précisera que la faute aurait été tenue pour grave à pleine responsabilité.</w:t>
      </w:r>
    </w:p>
    <w:p>
      <w:r>
        <w:rPr>
          <w:b/>
        </w:rPr>
        <w:t>E. 5.2.1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ATF 144 IV 217, JdT 2018 IV 335; ATF 142 IV 265 consid. 2.3.2, JdT 2017 IV 129;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TF 6B_776/2019 précité).</w:t>
      </w:r>
    </w:p>
    <w:p>
      <w:r>
        <w:rPr>
          <w:b/>
        </w:rPr>
        <w:t>E. 5.2.2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ATF 142 IV 265 précité et les références citées;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TF 6B_144/2019 précité; TF 6B_911/2018 du 5 février 2019 consid. 1.2.2).</w:t>
      </w:r>
    </w:p>
    <w:p>
      <w:r>
        <w:rPr>
          <w:b/>
        </w:rPr>
        <w:t>E. 5.3</w:t>
      </w:r>
    </w:p>
    <w:p>
      <w:r>
        <w:t>Les infractions passibles d’une peine privative de liberté sont en concours. La peine d’ensemble à prononcer doit intégrer un solde de 70 jours après révocation de la libération conditionnelle, accordée le 1 er juillet 2019, de la peine privative de liberté de 120 jours prononcée le 5 juillet 2018 par le Ministère public du Canton du Tessin. En effet, la récidive durant le délai d’épreuve venu à échéance le 30 juin 2020 impose une telle révocation en application de l’art. 89 al. 1 CP. Cela étant, les trois premières des infractions (en concours) à réprimer sont antérieures à l’ordonnance pénale rendue le 2 juillet 2020 par le Ministère public du Canton de Genève. La dernière infraction, perpétrée le 17 juillet 2020, lui est en revanche postérieure. Il y a donc concours rétrospectif partiel avec la peine privative de liberté de 160 jours prononcée le 2 juillet 2020. Les faits à réprimer relatés sous chiffres 2.1 et 2.3 de l’état de fait sont d’égale gravité. Ceux figurant au chiffre 2.4 sont d’une gravité supérieure. Ceux décrits au chiffre 2.2 sont d’une gravité inférieure aux trois autres. Ces différents groupes d’infractions justifient des majorations de peines de 40, 40, 70 et 20 jours, respectivement, plus 70 jours au titre de la révocation de la libération conditionnelle déjà mentionnée. Le total s’élève ainsi à 240 jours, soit à huit mois.</w:t>
      </w:r>
    </w:p>
    <w:p>
      <w:r>
        <w:rPr>
          <w:b/>
        </w:rPr>
        <w:t>E. 6.1</w:t>
      </w:r>
    </w:p>
    <w:p>
      <w:r>
        <w:t>L’appelant conteste enfin l’expulsion prononcée à son encontre. Il soutient d’abord qu’en l’absence de vol par métier, ainsi que d’utilisation frauduleuse d’un ordinateur par métier, il n’y a pas lieu à expulsion et qu’à défaut, la clause de rigueur s’appliquerait ( déclaration d’appel, ch. 5.3, p. 13).</w:t>
      </w:r>
    </w:p>
    <w:p>
      <w:r>
        <w:rPr>
          <w:b/>
        </w:rPr>
        <w:t>E. 6.2</w:t>
      </w:r>
    </w:p>
    <w:p>
      <w:r>
        <w:t>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Tel est, en particulier, le cas du vol en lien avec une violation de domicile (art. 66a al. 1 let. d CP).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TF 6B_724/2018 du 30 octobre 2018 consid. 2.3.2; TF 6B_371/2018 du 21 août 2018 consid. 2.5).</w:t>
      </w:r>
    </w:p>
    <w:p>
      <w:r>
        <w:rPr>
          <w:b/>
        </w:rPr>
        <w:t>E. 6.3</w:t>
      </w:r>
    </w:p>
    <w:p>
      <w:r>
        <w:t>En l’espèce, comme déjà relevé, l’appelant ne conteste l’expulsion qu’au motif que les infractions de vol et de violation de domicile (en concours, soit en lien au sens de l’art. 66a al. 1 let. d CP) ne seraient pas réalisées. Or elles le sont. Pour le reste, comme en a statué le Tribunal de police, il s’agit d’un cas d’expulsion obligatoire selon l’art. 66a al. 1 let. d CP (jugement, p. 19). Qui plus est, le vol qualifié (soit par métier selon l’art. 139 ch. 2 CP, notamment) et l’utilisation frauduleuse d’un ordinateur par métier (art. 147 al. 2 CP) constituent également chacun un cas d’expulsion obligatoire selon l’art. 66a al. 1 let. c CP. La motivation de l’exclusion de l’application de la clause de rigueur par le Tribunal de police (jugement, p. 19) est pertinente. Partant, il suffit d’y renvoyer (art. 82 al. 4 CPP). La Cour précisera que l’appelant a des liens plus étroits avec son pays qu’avec la Suisse. Il séjourne très souvent et longuement dans son pays, dont il parle la langue et où il ne commet pas d’infraction. Il vit alors avec sa femme et sa fille, celle-là n’étant pas autorisée à séjourner durablement en Suisse. En particulier, il a vécu en Macédoine de juillet à novembre 2020. Il demeure dans la maison propriété de ses parents au pays (jugement, p. 19, 3 e par.). Rien n’indique qu’il ne pourrait pas recevoir de soins médicaux dans son pays. C’est ainsi que le Tribunal fédéral a, dans un cas d’espèce, précisé que des soins médicaux adéquats, y compris en matière psychiatrique, pouvaient être prodigués en Géorgie (TF 6B_1117/2018 du 11 janvier 2019 consid. 2.3.3), respectivement en Guinée (ATF 145 IV 455). Ses allégations quant au traitement médical dispensé en Suisse sont infirmées par la fréquence de ses allers-retours. Au pays, il peut garder l’enfant et permettre ainsi à sa femme de travailler. De plus, il pourra y exercer une activité lucrative adaptée ou recevoir l’aide des siens et l’assistance des structures étatiques. A l’inverse, les lourds antécédents, le manque de prise de conscience et le désœuvrement du prévenu dénotent une mauvaise intégration en Suisse (cf. TF 6B_925/2019 du 16 octobre 2019, qui concernait un ressortissant colombien). L’échec évident de son intégration en Suisse ressort en particulier, comme l’a relevé la Procureure à l’audience d’appel, des propos « Vous me demandez comment j’explique la longueur de mon casier judiciaire et ma persévérance à commettre des infractions sur sol suisse. Je commets ces infractions en Suisse car on m’a refusé le regroupement familial (…) », tenus lors de l’audition du 24 novembre 2020 (PV aud. 4, l. 131-133). Au vu de ce qui est retenu ci-dessus, l’expulsion doit être confirmée. Pour le surplus, le délai a été fixé au minimum légal de cinq ans.</w:t>
      </w:r>
    </w:p>
    <w:p>
      <w:r>
        <w:rPr>
          <w:b/>
        </w:rPr>
        <w:t>E. 7</w:t>
      </w:r>
    </w:p>
    <w:p>
      <w:r>
        <w:t>La détention subie par l’appelant depuis le jugement de première instance sera déduite (art. 51 CP). Afin de garantir l’exécution de la peine, son maintien en exécution anticipée de peine doit en outre être ordonné.</w:t>
      </w:r>
    </w:p>
    <w:p>
      <w:r>
        <w:rPr>
          <w:b/>
        </w:rPr>
        <w:t>E. 8</w:t>
      </w:r>
    </w:p>
    <w:p>
      <w:r>
        <w:t>Vu l’issue de l’appel, les frais d’appel (art. 21 al. 1 et 2 TFIP [Tarif des frais de procédure et indemnités en matière pénale du 28 septembre 2010; RSV 312.03.1]) seront mis à la charge de l’appelant, qui succombe (art. 428 al. 1, 1 re phrase, CPP). Outre l’émolument, par 2'790 fr., les frais d’appel comprennent l’indemnité en faveur du défenseur d’office de l’appelant (art. 422 al. 1 et al. 2 let. a CPP). Pour ce qui est de la durée d’activité utile, cette indemnité doit être arrêtée sur la base de la liste d’opérations produite (P. 64), à cette réserve près que l’audience d’appel a duré une heure et non deux, comme indiqué sur la liste. En revanche, la cause a été traitée par l’avocate stagiaire et non par l’avocat breveté. Il y a donc lieu de retenir une durée de 15 heures et 40 minutes, y compris l’audience d’appel, au tarif horaire de 110 fr., ce qui correspond à des honoraires de 1'723 fr. 35. A ces honoraires doivent être ajoutés des débours forfaitaires à concurrence de 2 % (art. 3 bis al. 1 RAJ [Règlement du 7 décembre 2010 sur l'assistance judiciaire en matière civile; BLV 211.02.3], applicable par renvoi de l’art. 26b TFIP), ainsi qu’une vacation d’avocat stagiaire de 80 fr. pour l’audience d’appel, plus la TVA sur le tout. L’indemnité s’élève donc à 1'979 fr. 30,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