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277 vom 15. Januar 2021</w:t>
      </w:r>
    </w:p>
    <w:p>
      <w:r>
        <w:t>VD Tribunal cantonal, 2021-01-15, FR</w:t>
      </w:r>
    </w:p>
    <w:p>
      <w:r>
        <w:rPr>
          <w:b/>
        </w:rPr>
        <w:t xml:space="preserve">Quelle: </w:t>
      </w:r>
      <w:r>
        <w:t>https://mcp.opencaselaw.ch/entscheid/vd_findinfo_Jug___2021___277</w:t>
      </w:r>
    </w:p>
    <w:p>
      <w:r>
        <w:t>FR: VD_FINDINFO Jug / 2021 / 277 du 15 janvier 2021</w:t>
      </w:r>
    </w:p>
    <w:p>
      <w:r>
        <w:t>IT: VD_FINDINFO Jug / 2021 / 277 del 15 gennaio 2021</w:t>
      </w:r>
    </w:p>
    <w:p>
      <w:pPr>
        <w:pStyle w:val="Heading2"/>
      </w:pPr>
      <w:r>
        <w:t>Regeste</w:t>
      </w:r>
    </w:p>
    <w:p>
      <w:r>
        <w:t>ESCROQUERIE, ASTUCE, PLAIGNANT, PARTIE À LA PROCÉDURE, REJET DE LA DEMANDE, PREUVE ILLICITE | 146 CP, 118 CPP (CH), 141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RS 312.0]),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 TF 6B_727/2019 du 27 septembre 2019 consid. 1.3.1).</w:t>
      </w:r>
    </w:p>
    <w:p>
      <w:r>
        <w:rPr>
          <w:b/>
        </w:rPr>
        <w:t>E. 2.1</w:t>
      </w:r>
    </w:p>
    <w:p>
      <w:r>
        <w:t>et les arrêts cités). Les personnes subissant un préjudice indirect ou par ricochet n'ont donc pas le statut de lésé et sont des tiers n'ayant pas accès au statut de partie à la procédure (TF 1B_576/2018 du 26 juillet 2019 consid. 2.3 ; TF 1B_62/2018 du 21 juin 2018 consid. 2.1).</w:t>
      </w:r>
    </w:p>
    <w:p>
      <w:r>
        <w:rPr>
          <w:b/>
        </w:rPr>
        <w:t>E. 3.1</w:t>
      </w:r>
    </w:p>
    <w:p>
      <w:r>
        <w:t>V.________ a contesté en première instance la possibilité de lui opposer l’enregistrement de la conversation téléphonique figurant au dossier à titre de pièce à conviction. Il en a requis le retranchement, ce qui lui a été refusé par la première juge. L’art. 141 CPP règle la question de l’exploitation des moyens de preuve obtenus illégalement. Selon l’art. 141 al. 2, les preuves qui ont été administrées d'une manière illicite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l’État mais par un particulier. Selon la jurisprudence, ces preuves ne sont exploitables que si, d’une part, elles auraient pu être recueillies licitement par les autorités pénales et si, d’autre part, une pesée des intérêts en présence plaide pour une exploitabilité (ATF 146 IV 226 consid. 2.1 ; arrêts TF 6B_53/2020 du 14 juillet 2020 consid. 1.1 et 6B_902/2019 du 8 janvier 2020 consid. 1.2).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9 consid. 1.3.1 ; ATF 146 IV 226 consid. 2 et les références citées). Récemment, le Tribunal fédéral a jugé que la notion d’infractions graves au sens de l’art. 141 al. 2 CPP devait être examinée au regard de la gravité de l’acte concret et de l’ensemble des circonstances qui l’entourent, et non abstraitement, selon la peine menace de l’infraction en cause (ATF 147 IV 9 consid. 1.4.2).</w:t>
      </w:r>
    </w:p>
    <w:p>
      <w:r>
        <w:rPr>
          <w:b/>
        </w:rPr>
        <w:t>E. 3.2</w:t>
      </w:r>
    </w:p>
    <w:p>
      <w:r>
        <w:t>En l’espèce, il s’agit d’une affaire de police et les réquisition du Ministère public se limitent à 60 jours-amende avec sursis. Pour référence à l’art. 132 al. 3 CPP, on peut admettre qu’il s’agit d’une affaire de peu de gravité. Partant, la pièce à conviction enregistrée sous fiche n° 10'747 n’est pas exploitable et doit être retranchée du dossier.</w:t>
      </w:r>
    </w:p>
    <w:p>
      <w:r>
        <w:rPr>
          <w:b/>
        </w:rPr>
        <w:t>E. 4.1</w:t>
      </w:r>
    </w:p>
    <w:p>
      <w:r>
        <w:t>Le Ministère public soutient que V.________ a commis une escroquerie en vendant un véhicule dont il avait trafiqué le compteur kilométrique.</w:t>
      </w:r>
    </w:p>
    <w:p>
      <w:r>
        <w:rPr>
          <w:b/>
        </w:rPr>
        <w:t>E. 4.2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ATF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135 IV 76 consid. 5.2 p. 81).</w:t>
      </w:r>
    </w:p>
    <w:p>
      <w:r>
        <w:rPr>
          <w:b/>
        </w:rPr>
        <w:t>E. 4.3</w:t>
      </w:r>
    </w:p>
    <w:p>
      <w:r>
        <w:t>À l’issue de son instruction, la Cour d’appel ne peut pas établir qui de V.________ ou d’L.________ dit la vérité. On ne peut en particulier rien retirer du témoignage d’A.________. À supposer que V.________ ait menti à L.________, comme le soutient le Ministère public, L.________ n’a subi aucun appauvrissement puisqu’il expose avoir revendu le véhicule en réalisant un bénéfice substantiel. L’acheteur subséquent, la société J.________, a déposé plainte pour escroquerie contre L.________ et contre le père de ce dernier, [...]. Tous deux ont bénéficié d’une ordonnance de classement (cf. supra consid. 2). Il est exclu d’y revenir. Dans ces conditions, il convient de confirmer la libération du prévenu du chef d’accusation d’escroquerie.</w:t>
      </w:r>
    </w:p>
    <w:p>
      <w:r>
        <w:rPr>
          <w:b/>
        </w:rPr>
        <w:t>E. 5.1</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143 IV 77 consid. 2.2 p. 78 ; TF 1B_576/2018 du 26 juillet 2019 consid. 2.3).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141 IV 454 consid. 2.3.1 p. 457).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(TF 6B_857/2017 du 3 avril 2018 consid.</w:t>
      </w:r>
    </w:p>
    <w:p>
      <w:r>
        <w:rPr>
          <w:b/>
        </w:rPr>
        <w:t>E. 5.2</w:t>
      </w:r>
    </w:p>
    <w:p>
      <w:r>
        <w:t>Dans le cas d’espèce, le tribunal de première instance a renvoyé J.________ à agir par la voie civile. Cependant, vu la jurisprudence citée ci-dessus, J.________, lésée par ricochet, n’a pas la qualité de partie plaignante. Partant, il sied de rejeter ses conclusions civiles.</w:t>
      </w:r>
    </w:p>
    <w:p>
      <w:r>
        <w:rPr>
          <w:b/>
        </w:rPr>
        <w:t>E. 6</w:t>
      </w:r>
    </w:p>
    <w:p>
      <w:r>
        <w:t>En définitive, l’appel du Ministère public doit être rejeté et le jugement entrepris modifié au chiffre II de son dispositif, en ce sens que les conclusions civiles de J.________ sont rejetées.</w:t>
      </w:r>
    </w:p>
    <w:p>
      <w:r>
        <w:rPr>
          <w:b/>
        </w:rPr>
        <w:t>E. 7</w:t>
      </w:r>
    </w:p>
    <w:p>
      <w:r>
        <w:t>Vu l’issue de la cause, les frais de la procédure d’appel, constitués en l’espèce de l'émolument de jugement et d'audience, par 1’580 fr. (art. 21 al. 1 TFIP [tarif des frais de procédure et indemnités en matière pénale du 28 septembre 2010 ; BLV 312.03.1]), seront laissés à la charge de l’Etat (art. 428 al. 1 CPP). V.________, qui a procédé avec l’assistance de son défenseur de choix, se verra allouer une indemnité pour les dépenses occasionnées par l'exercice raisonnable de ses droits de procédure en seconde instance. La liste des opérations produite par son défenseur fait état de 2,95 heures de travail d’avocat breveté au tarif horaire de 350 fr. et de 1,5 heures de travail de l’avocate-stagiaire au tarif horaire de 200 francs. Toutefois, l’étude du dossier démontre que c’est l’avocate-stagiaire qui s’est principalement occupée de cette affaire. Partant, c’est une indemnité de 966 fr. 70, correspondant à 5 heures et 30 minutes de travail d’avocate-stagiaire au tarif horaire de 160 fr. (art. 26a al. 3 TFIP), par 880 fr., des débours forfaitaires à concurrence de 2 % (cf. art. 3bis al. 1 RAJ [règlement sur l'assistance judiciaire en matière civile du 7 décembre 2010 ; BLV 211.02.3], applicable par renvoi de l'art. 26b TFIP), par 17 fr. 60, et la TVA, par 69 fr. 10, qui sera allouée au défenseur de V.________.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