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270 vom 8. Februar 2021</w:t>
      </w:r>
    </w:p>
    <w:p>
      <w:r>
        <w:t>VD Tribunal cantonal, 2021-02-08, FR</w:t>
      </w:r>
    </w:p>
    <w:p>
      <w:r>
        <w:rPr>
          <w:b/>
        </w:rPr>
        <w:t xml:space="preserve">Quelle: </w:t>
      </w:r>
      <w:r>
        <w:t>https://mcp.opencaselaw.ch/entscheid/vd_findinfo_Jug___2021___270</w:t>
      </w:r>
    </w:p>
    <w:p>
      <w:r>
        <w:t>FR: VD_FINDINFO Jug / 2021 / 270 du 8 février 2021</w:t>
      </w:r>
    </w:p>
    <w:p>
      <w:r>
        <w:t>IT: VD_FINDINFO Jug / 2021 / 270 del 8 febbraio 2021</w:t>
      </w:r>
    </w:p>
    <w:p>
      <w:pPr>
        <w:pStyle w:val="Heading2"/>
      </w:pPr>
      <w:r>
        <w:t>Regeste</w:t>
      </w:r>
    </w:p>
    <w:p>
      <w:r>
        <w:t>FIXATION DE LA PEINE, PEINE PRIVATIVE DE LIBERTÉ, PEINE PÉCUNIAIRE | 47 CP, 91 al. 2 LCR</w:t>
      </w:r>
    </w:p>
    <w:p>
      <w:pPr>
        <w:pStyle w:val="Heading2"/>
      </w:pPr>
      <w:r>
        <w:t>Erwägungen</w:t>
      </w:r>
    </w:p>
    <w:p>
      <w:r>
        <w:rPr>
          <w:b/>
        </w:rPr>
        <w:t>E. 2.1</w:t>
      </w:r>
    </w:p>
    <w:p>
      <w:r>
        <w:t>L’appelant ne conteste pas sa culpabilité, mais uniquement le genre et la quotité de la peine infligée par le Tribunal de police de l’arrondissement de Lausanne, estimant que sa faute devrait être sanctionnée par une peine pécuniaire ou un travail d’intérêt général. 2.2.1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2.2.2 Depuis le 1 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w:t>
      </w:r>
    </w:p>
    <w:p>
      <w:r>
        <w:rPr>
          <w:b/>
        </w:rPr>
        <w:t>E. 3.1</w:t>
      </w:r>
    </w:p>
    <w:p>
      <w:r>
        <w:t>En l’espèce, l’appelant s’est rendu coupable de conduite d’un véhicule automobile en état d’ébriété avec un taux d’alcool qualifié dans le sang ou dans l’haleine au sens de l’art. 91 al. 2 LCR (loi fédérale du 19 décembre 1958 sur la circulation routière, RS 741.01) – passible d’une peine privative de liberté de trois ans au plus ou d’une peine pécuniaire. Sa faute est lourde. L’appelant a délibérément pris le volant de son véhicule alors qu’il se savait en incapacité de conduire. Certes, il a expliqué qu’il pensait en être capable après sa sieste d’une heure dans l’habitable de la voiture. Il n’en demeure pas moins qu’il était conscient de la quantité d’alcool ingérée le soir du 6 juin 2020, à savoir une dizaine de bières, ainsi que de son incapacité à le supporter, dès lors qu’il a déclaré n’être « plus [lui]-même après cinq bière » (cf. PV aud. du 17 novembre 2020 p. 2). Son attitude oppositionnelle lors de son interpellation reflète d’ailleurs l’état d’ébriété qu’il présentait au moment des faits. L’appelant connaissait également le caractère répréhensible de son comportement et les conséquences qui pouvaient en découler, tant pour lui-même que pour les autres usagers de la route, compte tenu de ses précédentes condamnations en matière de circulation routière et de son passé de chauffeur de poids lourds professionnel. A la décharge de l’appelant, il y a effectivement lieu de tenir compte de sa collaboration avec les autorités, des regrets exprimés, du suivi entrepris auprès du Dr [...], de l’abstinence dont il a fait preuve depuis le 6 juin 2020, ainsi que de la vente de son véhicule automobile. 3.2.1 L’appelant soutient que ces éléments à décharge permettraient d’asseoir un pronostic favorable justifiant le prononcé d’une peine pécuniaire. A l’instar du tribunal de première instance, on constate toutefois que l’appelant a été condamné à tout le moins à deux reprises pour des faits identiques, à savoir le 12 novembre 2015 et le 28 juillet 2017, à des peines pécuniaires fermes. Ces condamnations n’ont toutefois pas permis son amendement, puisqu’il a récidivé avec une alcoolémie très élevée le soir du 6 juin 2020. Il s’ensuit que seule une peine privative de liberté est susceptible de détourner efficacement l’appelant de la délinquance en matière de circulation routière, notamment en lien avec sa consommation d’alcool. 3.2.2 Certes, l’exécution de cette sanction portera une atteinte non négligeable sur sa vie familiale et professionnelle, sans toutefois que cette atteinte apparaisse disproportionnée au regard des arguments développés ci-dessus. Par ailleurs, les conséquences inhérentes à la privation de liberté pourront être atténuées par des modalités d’exécution de la peine qui pourront être mise en œuvre une fois la condamnation entrée en force, le juge du fond n’étant pas compétent pour les ordonner à ce stade. En effet, et sans préjuger des conditions propres à chaque modalité d’exécution, on relève qu’il sera loisible à l’appelant, au vu de la quotité de la peine infligée, de solliciter l’octroi d’un régime de semi-détention (art. 77b CP [Code pénal suisse du 21 décembre 1937 ; RS 311.0]), d’un travail d’intérêt général (art. 79a CP), ou d’une surveillance électronique (art. 79b CP) auprès de l’autorité d’exécution.</w:t>
      </w:r>
    </w:p>
    <w:p>
      <w:r>
        <w:rPr>
          <w:b/>
        </w:rPr>
        <w:t>E. 3.3</w:t>
      </w:r>
    </w:p>
    <w:p>
      <w:r>
        <w:t>S’agissant de la quotité de la peine, le Tribunal de police de l’arrondissement de Lausanne a prononcé une peine privative de liberté de 90 jours. Contrairement à ce que soutient l’appelant, cette peine prend en considération tant les éléments à charge que ceux à décharge, tel que cela ressort des pages 12 et 13 du jugement entrepris. Les éléments à décharge ont notamment permis de maintenir la peine infligée dans les premiers degrés de l’échelle des peines prévue pour le comportement incriminé, étant rappelé le plafond fixé à trois ans de peine privative de liberté (cf. art. 91 al. 2 LCR). Sans ces éléments, un regard plus sévère encore aurait dû être porté sur la culpabilité de l’appelant, compte tenu du mépris des règles en matière de circulation routière dont il a fait preuve. Il s’ensuit que la peine prononcée par le Tribunal de police d’arrondissement de Lausanne est adéquate et ne prête pas le flanc à la critique. Elle doit dès lors être confirmée.</w:t>
      </w:r>
    </w:p>
    <w:p>
      <w:r>
        <w:rPr>
          <w:b/>
        </w:rPr>
        <w:t>E. 4.1</w:t>
      </w:r>
    </w:p>
    <w:p>
      <w:r>
        <w:t>Dans son mémoire d’appel motivé du 12 mai 2021, l’appelant demande que la peine prononcée soit assortie d’un sursis, conclusion qu’il n’avait pas soulevée dans le cadre de sa déclaration d’appel du 24 mars 2021.</w:t>
      </w:r>
    </w:p>
    <w:p>
      <w:r>
        <w:rPr>
          <w:b/>
        </w:rPr>
        <w:t>E. 4.2</w:t>
      </w:r>
    </w:p>
    <w:p>
      <w:r>
        <w:t>En vertu de l’art. 399 al. 4 let. a à g CPP, quiconque attaque seulement certaines parties du jugement est tenu d’indiquer dans la déclaration d’appel, de manière définitive, sur quelles parties porte l’appel, à savoir : sur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répartition du tort moral (let. f), ainsi que les décisions judiciaires ultérieures (let. g). Cette disposition permet la limitation de l’appel à certains points du jugement seulement (Moreillon/Parein-Reymond, Petit commentaire CPP, 2 e éd., Bâle 2016, n. 31 ad art. 399 CPP). L'art. 404 al. 1 CPP dispose que la juridiction d'appel n'examine que les points attaqués du jugement de première instance. La limitation de l'appel repose sur un souci d'économie du procès et d'allègement de la procédure. Après que l'objet de l'appel a été fixé dans la déclaration d'appel, la portée de celui-ci ne peut plus être élargie (TF 6B_48/2020 et 6B_49/2020 du 26 mai 2020 ; TF 6B_125/2019 du 5 mars 2019 consid. 1.1; TF 6B_1160/2017 du 17 avril 2018 consid. 1.1 et les références citées).</w:t>
      </w:r>
    </w:p>
    <w:p>
      <w:r>
        <w:rPr>
          <w:b/>
        </w:rPr>
        <w:t>E. 4.3</w:t>
      </w:r>
    </w:p>
    <w:p>
      <w:r>
        <w:t>En l’occurrence, dans sa déclaration d’appel du 24 mars 2021, l’appelant a indiqué qu’il attaquait la quotité de la peine prononcée par le Tribunal de police de l’arrondissement de Lausanne, ainsi que le genre de peine. Il a par ailleurs expressément admis que ses antécédents ne lui permettaient pas d’être mis au bénéfice d’un sursis, renonçant ainsi à attaquer ce point du jugement. Dans cette mesure, on pourrait se demander s’il pouvait, au stade de son mémoire d’appel motivé du 12 mai 2021, étendre le cadre des débats à la question de l’octroi d’un sursis. Cette question peut toutefois demeurer indécise, les conditions du sursis n’étant en tout état de cause pas réalisées. 5.1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 5.2 En l’occurrence, le pronostic doit être qualifié de défavorable, malgré les démarches entreprises par l’appelant sur le plan personnel. Compte tenu de ses antécédents spécifiques en matière de circulation routière et de la quantité d’alcool importante ingérée le soir du 6 juin 2020, la prise de conscience apparait encore très fragile et la récidive hautement probable. Dans ces circonstances, les conditions du sursis à la peine ne sont pas réalisées.</w:t>
      </w:r>
    </w:p>
    <w:p>
      <w:r>
        <w:rPr>
          <w:b/>
        </w:rPr>
        <w:t>E. 6</w:t>
      </w:r>
    </w:p>
    <w:p>
      <w:r>
        <w:t>En conclusion, l’appel de V.________, manifestement mal fondé, doit être rejeté et le jugement entrepris intégralement confirmé. Me Richard-Xavier Posse, défenseur d’office de V.________, a produit une liste des opérations faisant état d’une activité de 5,08 heures, dont il n’y a pas lieu de de s’écarté. L’activité alléguée sera toutefois indemnisée au tarif horaire de 180 fr. et non de 300 fr., soit au tarif usuellement fixé dans le canton de Vaud (cf. art. 2 al. 1 let. a RAJ (Règlement sur l’assistance judiciaire en matière civile du 7 décembre 2010 ; BLV 211.02.3 ; ATF 137 III 185) et les débours fixés forfairairement à 2 % du défraiement hors taxe des honoraires admis en deuxième instance (art. 3 bis RAJ, par renvoi de l’art. 26b TFIP [Tarif des frais de procédure et indemnités en matière pénale du 28 septembre 2010 ; BLV 312.03.1]). C’est donc une indemnité de 1'148 fr. 90, correspondant à 5,08 heures d’activité d’avocat au tarif horaire de 180 fr., à 20 fr. 90 de débours et à 82 fr. de TVA au taux de 7,7 % qui sera allouée à Me Richard-Xavier Posse pour la procédure d’appel. Vu l’issue de la cause, les frais de la procédure d'appel, par 2'248 fr. 90, constitués en l’espèce de l’émolument de jugement, par 1’100 fr. (art. 21 al. 1 et 2 TFIP [tarif des frais de procédure et indemnités en matière pénale du 28 septembre 2010 ; BLV 312.03.1]), ainsi que de l’indemnité allouée au défenseur d’office, par 1'148 fr. 90, seront mis à la charge de V.________, qui succombe (art. 428 al. 1 CPP). Le prévenu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