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265 vom 7. April 2021</w:t>
      </w:r>
    </w:p>
    <w:p>
      <w:r>
        <w:t>VD Tribunal cantonal, 2021-04-07, FR</w:t>
      </w:r>
    </w:p>
    <w:p>
      <w:r>
        <w:rPr>
          <w:b/>
        </w:rPr>
        <w:t xml:space="preserve">Quelle: </w:t>
      </w:r>
      <w:r>
        <w:t>https://mcp.opencaselaw.ch/entscheid/vd_findinfo_Jug___2021___265</w:t>
      </w:r>
    </w:p>
    <w:p>
      <w:r>
        <w:t>FR: VD_FINDINFO Jug / 2021 / 265 du 7 avril 2021</w:t>
      </w:r>
    </w:p>
    <w:p>
      <w:r>
        <w:t>IT: VD_FINDINFO Jug / 2021 / 265 del 7 aprile 2021</w:t>
      </w:r>
    </w:p>
    <w:p>
      <w:pPr>
        <w:pStyle w:val="Heading2"/>
      </w:pPr>
      <w:r>
        <w:t>Regeste</w:t>
      </w:r>
    </w:p>
    <w:p>
      <w:r>
        <w:t>EXEMPTION DE PEINE, ACCIDENT DE PEU DE GRAVITÉ, DISPOSITIONS PÉNALES DE LA LCR | 100 LCR, 90 al. 1 LCR, 3 al. 1 OCR</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CPP, l’appel est recevable contre les jugements des tribunaux de première instance qui ont clos tout ou partie de la procédure (al. 1).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3.1</w:t>
      </w:r>
    </w:p>
    <w:p>
      <w:r>
        <w:t>L’appelant relève que le Tribunal de police n’a pas tranché la question de la durée de l’inattention portée sur les piétons à la droite de son véhicule. Il rappelle que le rapport de police indique une durée de « quelques secondes » alors que lui-même soutient que cette durée était « d’une seconde ». En omettant de tenir compte d’un moyen de preuve pertinent s’agissant de ses déclarations, la constatation des faits serait incomplète et arbitraire.</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3.3</w:t>
      </w:r>
    </w:p>
    <w:p>
      <w:r>
        <w:t>En l’occurrence, l’appelant a raison lorsqu’il reproche au premier juge de ne pas avoir tranché la durée de l’inattention. Le jugement entrepris, qui comporte une lacune manifeste doit donc être complété. A défaut d’autres preuves contradictoires, il convient de retenir une inattention d’une seconde tel qu’allégué par l’appelant.</w:t>
      </w:r>
    </w:p>
    <w:p>
      <w:r>
        <w:rPr>
          <w:b/>
        </w:rPr>
        <w:t>E. 4.1</w:t>
      </w:r>
    </w:p>
    <w:p>
      <w:r>
        <w:t>L’appelant fait grief au premier juge d’avoir retenu que la prudence aurait imposé, au moment où il avait vu les piétons lui faire signe, l’arrêt complet de son véhicule, ce qui aurait été possible compte tenu de sa vitesse très réduite. Il requiert la mise en œuvre d’une expertise pour déterminer si l’accident aurait pu être évité ou non.</w:t>
      </w:r>
    </w:p>
    <w:p>
      <w:r>
        <w:rPr>
          <w:b/>
        </w:rPr>
        <w:t>E. 4.2.1</w:t>
      </w:r>
    </w:p>
    <w:p>
      <w:r>
        <w:t>Selon l'art. 31 al. 1 LCR, le conducteur doit rester constamment maître de son véhicule de façon à pouvoir se conformer aux devoirs de la prudence. Selon l'art. 3 al. 1 OCR, le conducteur voue son attention à la route et à la circulation. La violation simple de ces règles de circulation est punie de l'amende (art. 90 al. 1 LCR). Le degré de l'attention requise par l'art. 3 al. 1 OCR s'apprécie au regard des circonstances d'espèce, telles que la densité du trafic, la configuration des lieux, l'heure, la visibilité et les sources de danger prévisibles ( ATF 127 II 302 consid. 3c p. 303 et arrêt cité). Il est rappelé la teneur de l’art. 26 al. 2 LCR selon lequel une prudence particulière s’impose à l’égard des enfants, des infirmes et des personnes âgées, et de même s’il apparaît qu’un usager de la route va se comporter de manière incorrecte. Les règles de la circulation sont des prescriptions de sécurité destinées à prévenir les accidents. L'art. 90 LCR réprime donc une infraction de mise en danger abstraite, sans égard au résultat concret de ces violations (cf. ATF 92 IV 33 consid. 1 p. 34). Par ailleurs, il y a lieu de préciser qu’il n’existe aucune compensation des fautes en droit pénal (ATF 85 IV 91) chacun étant puni pour celles qu’il a commises (ATF 105 IV 213).</w:t>
      </w:r>
    </w:p>
    <w:p>
      <w:r>
        <w:rPr>
          <w:b/>
        </w:rPr>
        <w:t>E. 4.2.2</w:t>
      </w:r>
    </w:p>
    <w:p>
      <w:r>
        <w:t>Les autorités pénales mettent en œuvre tous les moyens de preuves licites qui, selon l’état des connaissance scientifiques et l’expérience, sont propres à établir la vérité (art. 139 al. 1 CPP). Le Ministère public et les tribunaux ont recours à un ou plusieurs experts lorsqu’ils ne dispose pas des connaissances et des capacités nécessaires pour constater ou juger un état de fait (art. 182 CPP). Il n’y a toutefois pas lieu d’administrer des preuves sur des faits non pertinents, notoires, connus de l’autorité pénale ou déjà suffisamment prouvés (art. 139 al. 2 CPP).</w:t>
      </w:r>
    </w:p>
    <w:p>
      <w:r>
        <w:rPr>
          <w:b/>
        </w:rPr>
        <w:t>E. 4.3</w:t>
      </w:r>
    </w:p>
    <w:p>
      <w:r>
        <w:t>En l’occurrence, l’appelant perd de vue qu’il s’agit de trancher la question de la violation de l’art. 3 OCR, soit celle de savoir s’il a voué son attention à la route et à la circulation ou s’il a été inattentif. Il s’ensuit que le lien de causalité entre l’évènement dommageable (les lésions) et la faute de circulation commise ne se pose pas. Partant, la mise en œuvre d’une expertise n’est pas pertinente pour juger la cause.</w:t>
      </w:r>
    </w:p>
    <w:p>
      <w:r>
        <w:rPr>
          <w:b/>
        </w:rPr>
        <w:t>E. 5.1</w:t>
      </w:r>
    </w:p>
    <w:p>
      <w:r>
        <w:t>L’appelant fait valoir une violation de son droit d’être entendu. Il reproche au Tribunal de police d’avoir fondé son jugement sur des faits qui ne figureraient pas dans l’ordonnance pénale tenant lieu d’acte d’accusation. Il explique que sur la base de la seule ordonnance pénale, il ne pouvait pas comprendre que lui seraient imputés d’autres éléments factuels qu’une inattention au sens de l’art. 3 al. 1 OCR. Il considère que le premier juge aurait excédé sa latitude dans l’appréciation de l’accusation, de sorte qu’elle aurait violé les dispositions légales applicables.</w:t>
      </w:r>
    </w:p>
    <w:p>
      <w:r>
        <w:rPr>
          <w:b/>
        </w:rPr>
        <w:t>E. 5.2</w:t>
      </w:r>
    </w:p>
    <w:p>
      <w:r>
        <w:t>L'art.</w:t>
      </w:r>
    </w:p>
    <w:p>
      <w:r>
        <w:rPr>
          <w:b/>
        </w:rPr>
        <w:t>E. 5.3</w:t>
      </w:r>
    </w:p>
    <w:p>
      <w:r>
        <w:t>Le premier juge a retenu que K.________ aurait dû s’arrêter et ne pas continuer à rouler lorsqu’il a déporté son regard vers le groupe qui lui faisait des signes. Certes, cette explication ne fait pas partie du catalogue des infractions réprimées par la LCR. En revanche, ne pas vouer pas une attention suffisante à la route, parce qu’on détourne son regard, même brièvement comme en l’espèce, est une infraction réprimée par l’art. 3 al. 1 OCR. K.________ a quitté la route des yeux, ce qui fonde par définition une inattention, et partant une violation de l’art. 3 al. 1 OCR, infraction retenue à juste titre par le premier juge. Le fait que celui-ci précise le comportement qu’aurait dû avoir l’appelant s’il quittait la route des yeux, soit arrêter son véhicule, n’y change rien. On ne distingue ainsi aucune violation de la maxime d’accusation. 6. 6.1 L’appelant fait encore valoir qu’il serait douteux de parler d’une inattention répréhensible au sens de l’art. 3 al. 1 OCR s’agissant d’un regard porté durant une seconde maximum sur des piétons du côté droite de la chaussée à la hauteur d’un passage pour piétons dans un parking. 6.2 En l’occurrence, on peine à comprendre où l’appelant veut en venir. En effet, il admet avoir détourné son regard de la route. Il a donc été inattentif à sa conduite, ce que réprime précisément l’art. 3 al. 1 OCR. 7. 7.1 L’inattention étant établie, K.________ s’est ainsi rendu coupable de contravention à l’art. 90 al. 1 LCR pour avoir enfreint l’art. 3 al. 1 OCR. Il convient maintenant d’examiner la faute. 7.2 Selon l’art. 100 ch. 1, 2 ème phrase, LCR, le juge peut exempter l’auteur de l’infraction si on ne peut lui reprocher qu’une faute de très peu de gravité. Le cas de très peu de gravité est un cas bagatelle où même une amende très modérée « de principe » apparaîtrait choquante parce que manifestement trop dure et non appropriée ; il y a lieu de retenir un tel cas de manière restrictive et effectuer une appréciation objective et subjective des circonstances (Bussy/Rusconi et alii, Code suisse de la circulation routière commenté, 4 ème éd., Bâle 2015, n. 2.5 ad. art. 100 ch. 1 LCR ; TF 6B_299/2011, c. 3. 4 ; ATF 124 IV 184, c. 3a). La jurisprudence subordonne l'admission d'un cas de très peu de gravité à des exigences élevées (TF 6B_299/2011 et 6B 332/2011 du 1 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 applicable, il faut, outre le fait que l'infraction ait causé une lésion de peu d'importance à l'ordre juridique, que la faute de l'auteur soit si légère qu'une peine d'amende, même minime, apparaisse en soi d'une sévérité choquante (TF 6S.443/2006 du 19 décembre 2006, ATF 91 IV 149 c. 3;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 7.3 En l’espèce, les circonstances ayant mené à la culpabilité de K.________ sont extrêmement particulières. En effet, l’inattention dont la durée a été évaluée à une seconde, est très brève. Cette inattention est en outre excusable puisqu’elle provient d’un groupe de personne qui alarmaient, à tort, l’appelant, croyant que son coffre était ouvert. Il paraît ainsi inapproprié de condamner l’appelant pour avoir, un bref instant, détourné son regard vers un groupe qui lui signifiait clairement une situation de danger. Par ailleurs, K.________ circulait à 5 km/h, soit à une vitesse proche de celle d’un homme au pas. Au vu de ces circonstances, il convient de retenir que l’on se trouve dans un cas de très peu de gravité au sens de l’art. 100 ch. 1 2 ème phrase LCR, ce qui conduit à exempter l’appelant de toute peine. 8. En définitive, l’appel de K.________ doit être partiellement admis et le jugement entrepris réformé dans le sens des considérants qui précèdent. Vu l’issue de l’appel, les frais de la procédure d’appel, par 1'170 fr. (art. 21 al. 1 et 2 TFIP), seront mis par moitié, soit 585 fr., à la charge de K.________, qui n’obtient que partiellement gain de cause, le solde étant laissé à la charge de l’Etat (art. 428 al. 1, 1 re phrase, CPP).</w:t>
      </w:r>
    </w:p>
    <w:p>
      <w:r>
        <w:rPr>
          <w:b/>
        </w:rPr>
        <w:t>E. 9</w:t>
      </w:r>
    </w:p>
    <w:p>
      <w:r>
        <w:t>Le prévenu a conclu à l’octroi, à la charge de l’Etat, d’une indemnité pour les dépenses occasionnées par l'exercice raisonnable de ses droits en procédure d’appel, au titre des frais occasionnés par l’assistance de son défenseur de choix. Le prévenu a produit une note d’honoraires de son défenseur faisant état de 2'080 fr. 75, TVA comprise, correspondant à 8 heures 24 de travail au tarif horaire de 230 fr. (P. 23/2). La durée de l’activité annoncées est cependant trop élevée et il convient de retrancher 2h00 sur les 6h00 annoncées pour la rédaction du mémoire d’appel motivé. L’indemnité allouée à K.________ en application de l’art. 429 al. 1 let. a CPP se monte ainsi à 1'472 francs. Elle sera réduite dans la même proportion que les frais d’appel, soit de moitié, à raison de 736 francs. L’art. 442 al. 4 CPP prévoit que les autorités pénales peuvent compenser les créances portant sur des frais de procédure avec les indemnités accordées à la partie débitrice dans la même procédure pénale. Conformément à la disposition ci-dessus, l’indemnité allouée conformément à l’art. 429 al. 1 let. a CPP doit être compensée à due concurrence avec les frais de procédure dus par le prévenu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