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249 vom 16. März 2021</w:t>
      </w:r>
    </w:p>
    <w:p>
      <w:r>
        <w:t>VD Tribunal cantonal, 2021-03-16, FR</w:t>
      </w:r>
    </w:p>
    <w:p>
      <w:r>
        <w:rPr>
          <w:b/>
        </w:rPr>
        <w:t xml:space="preserve">Quelle: </w:t>
      </w:r>
      <w:r>
        <w:t>https://mcp.opencaselaw.ch/entscheid/vd_findinfo_Jug___2021___249</w:t>
      </w:r>
    </w:p>
    <w:p>
      <w:r>
        <w:t>FR: VD_FINDINFO Jug / 2021 / 249 du 16 mars 2021</w:t>
      </w:r>
    </w:p>
    <w:p>
      <w:r>
        <w:t>IT: VD_FINDINFO Jug / 2021 / 249 del 16 marzo 2021</w:t>
      </w:r>
    </w:p>
    <w:p>
      <w:pPr>
        <w:pStyle w:val="Heading2"/>
      </w:pPr>
      <w:r>
        <w:t>Regeste</w:t>
      </w:r>
    </w:p>
    <w:p>
      <w:r>
        <w:t>AVOCAT D'OFFICE, INDEMNITÉ{EN GÉNÉRAL}, RESTITUTION DU DÉLAI, MOTIVATION DE LA DEMANDE | 135 al. 3 let. a CPP (CH), 385 CPP (CH), 94 CPP (CH)</w:t>
      </w:r>
    </w:p>
    <w:p>
      <w:pPr>
        <w:pStyle w:val="Heading2"/>
      </w:pPr>
      <w:r>
        <w:t>Erwägungen</w:t>
      </w:r>
    </w:p>
    <w:p>
      <w:r>
        <w:rPr>
          <w:b/>
        </w:rPr>
        <w:t>E. 1.1</w:t>
      </w:r>
    </w:p>
    <w:p>
      <w:r>
        <w:t>Le défenseur d’office peut recourir devant l’autorité de recours (cf. art. 20 CPP) contre la décision du ministère public ou du tribunal de première instance fixant son indemnité (art. 135 al. 3 let. a CPP ; ATF 139 IV 199 consid. 5.2, JdT 2014 IV 79).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Si 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 e éd., Bâle 2014 [ci-après : Basler Kommentar], n. 1a ad art. 385 CP ; Pitteloud, Code de procédure pénale suisse, Commentaire à l’usage des praticiens, Zurich/St-Gall 2012, n. 1126 ; CREP 19 février 2021/163). Les motifs au sens de l'art. 385 al. 1 let. b CPP doivent être étayés par le recourant sous l'angle des faits et du droit.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 Wohlers [éd.], Zürcher Kommentar, Kommentar zur Schweizerischen Strafprozess-ordnung, 3 e éd. 2020 [ci-après : Zürcher Kommentar], n. 14 ad art. 396 StPO et les références citées ; Calame, in : Jeanneret et al. [éd.], Commentaire romand, Code de procédure pénale suisse, 2 e éd., Bâle 2019, n. 21 ad art. 385 CPP ; Guidon, in : Basler Kommentar, op. cit., n. 9c ad art. 396 StPO et les références citées). Il peut être attendu des personnes ayant des connaissances juridiques, notamment des avocats, qu’ils introduisent des recours en respectant les règles précitées (Keller, in : Zürcher Kommentar, op. et loc. cit. ; Guidon, in : Basler Kommentar, op. cit., n. 9e ad art. 396 StPO et les références citées).</w:t>
      </w:r>
    </w:p>
    <w:p>
      <w:r>
        <w:rPr>
          <w:b/>
        </w:rPr>
        <w:t>E. 1.2.2</w:t>
      </w:r>
    </w:p>
    <w:p>
      <w:r>
        <w:t>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6B_510/2018 du 31 juillet 2018 consid. 1 et les références citées ; TF 1B_232/2017 du 19 juillet 2017 consid. 2.4.3 ; TF 1B_183/2012 du 20 novembre 2012 consid. 2 ; CREP 19 février 2021/163 précité ; CREP 18 décembre 2020/1020).</w:t>
      </w:r>
    </w:p>
    <w:p>
      <w:r>
        <w:rPr>
          <w:b/>
        </w:rPr>
        <w:t>E. 1.3</w:t>
      </w:r>
    </w:p>
    <w:p>
      <w:r>
        <w:t>En l’espèce, dans sa « déclaration de recours » du 24 décembre 2020, le recourant s’est borné à indiquer « je déclare former recours contre l’indemnité d’office qui m’a été allouée », de sorte que son acte ne contient aucune argumentation, ni conclusion. Cet écrit, s’il permet de comprendre quel point du jugement est contesté, ne permet ni de saisir les motifs qui commanderaient une autre décision, ni de comprendre l’ampleur de la modification demandée. A cet égard, il y a lieu de relever que, quand bien même il ne disposait pas du jugement complet pour motiver ses griefs, le recourant devait au moins chiffrer ses prétentions. Au demeurant, il n’a pas saisi l’occasion de préciser sa contestation dans le délai de dix jours qui a couru depuis la réception des motifs du jugement. Le recours ne satisfait donc pas aux exigences de motivation de l'art. 385 al. 1 CPP. Un tel défaut de motivation ne saurait justifier qu'un délai supplémentaire soit fixé au recourant pour compléter son recours en application de l'art. 385 al. 2 CPP. Partant, le recours, en tant qu’il conteste le montant de l’indemnité de défenseur d’office, est irrecevable.</w:t>
      </w:r>
    </w:p>
    <w:p>
      <w:r>
        <w:rPr>
          <w:b/>
        </w:rPr>
        <w:t>E. 2.1</w:t>
      </w:r>
    </w:p>
    <w:p>
      <w:r>
        <w:t>Le recourant, invoquant sa bonne foi, requiert la restitution du délai de recours, au motif qu’il ignorait que son acte était vicié faute d’être motivé à satisfaction.</w:t>
      </w:r>
    </w:p>
    <w:p>
      <w:r>
        <w:rPr>
          <w:b/>
        </w:rPr>
        <w:t>E. 2.2</w:t>
      </w:r>
    </w:p>
    <w:p>
      <w:r>
        <w:t>Aux termes de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Selon l’art. 94 al. 2 CPP, la demande de restitution, dûment motivée, doit être adressée par écrit dans les trente jours à compter de celui où l’empêchement a cessé, à l’autorité auprès de laquelle l’acte de procédure aurait dû être accompli, dit acte devant être répété durant ce délai. L’autorité pénale rend sa décision sur la demande par écrit (al. 4). La restitution de délai suppose que la partie ou son mandataire a été empêché d'agir sans faute dans le délai fixé (ATF 143 I 284 consid. 1.3 ; TF 6B_401/2019 du 1 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 TF 6B_365/2016 du 29 juillet 2016 consid. 2.1 et l'arrêt cité). La restitution de délai ne doit être accordée qu'en cas d'absence claire de faute. En règle générale, un manquement de l’avocat ne constitue pas un empêchement non fautif justifiant une restitution du délai au sens de l’art. 94 CPP (ATF 143 I 284 précité).</w:t>
      </w:r>
    </w:p>
    <w:p>
      <w:r>
        <w:rPr>
          <w:b/>
        </w:rPr>
        <w:t>E. 2.3</w:t>
      </w:r>
    </w:p>
    <w:p>
      <w:r>
        <w:t>En l’espèce, le recourant, une fois le vice de forme constaté, n’a pas motivé la contestation du montant de son indemnité de défenseur d’office dans le délai de trente jours imparti par l’art. 94 al. 2 CPP, de sorte que sa demande de restitution de délai ne répond pas aux exigences légales, qui précisent que l’acte omis doit être accompli dans ce délai. Au demeurant, même à supposer recevable, la demande de restitution de délai devrait être rejetée. En effet, le recourant ne fait valoir aucun empêchement d’agir dans le délai imparti, mais une négligence de sa part dans l’analyse de la voie de droit de l’art. 135 al. 3 let. a CPP, le recours ayant été exercé sous la forme d’une annonce d’appel au lieu du dépôt d’un mémoire motivé et comprenant des conclusions. Compte tenu de la jurisprudence susmentionnée, il y a ainsi lieu d’écarter tout empêchement d’agir et de retenir une faute imputable au recourant, si bien que la restitution du délai doit lui être refusée.</w:t>
      </w:r>
    </w:p>
    <w:p>
      <w:r>
        <w:rPr>
          <w:b/>
        </w:rPr>
        <w:t>E. 3</w:t>
      </w:r>
    </w:p>
    <w:p>
      <w:r>
        <w:t>En conclusion, le recours est irrecevable en tant qu’il conteste le montant de l’indemnité de défenseur d’office et la demande de restitution de délai doit être rejetée dans la mesure où elle est recevable.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