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241 vom 13. November 2021</w:t>
      </w:r>
    </w:p>
    <w:p>
      <w:r>
        <w:t>VD Tribunal cantonal, 2021-11-13, FR</w:t>
      </w:r>
    </w:p>
    <w:p>
      <w:r>
        <w:rPr>
          <w:b/>
        </w:rPr>
        <w:t xml:space="preserve">Quelle: </w:t>
      </w:r>
      <w:r>
        <w:t>https://mcp.opencaselaw.ch/entscheid/vd_findinfo_Jug___2021___241</w:t>
      </w:r>
    </w:p>
    <w:p>
      <w:r>
        <w:t>FR: VD_FINDINFO Jug / 2021 / 241 du 13 novembre 2021</w:t>
      </w:r>
    </w:p>
    <w:p>
      <w:r>
        <w:t>IT: VD_FINDINFO Jug / 2021 / 241 del 13 novembre 2021</w:t>
      </w:r>
    </w:p>
    <w:p>
      <w:pPr>
        <w:pStyle w:val="Heading2"/>
      </w:pPr>
      <w:r>
        <w:t>Regeste</w:t>
      </w:r>
    </w:p>
    <w:p>
      <w:r>
        <w:t>PRÉSOMPTION D'INNOCENCE, MENACE{DROIT PÉNAL}, DOMMAGES À LA PROPRIÉTÉ{DROIT PÉNAL}, CONTRAINTE{DROIT PÉNAL}, PEINE PÉCUNIAIRE, FIXATION DE LA PEINE, SURSIS À L'EXÉCUTION DE LA PEINE, CONCOURS D'INFRACTIONS, TORT MORAL, INDEMNITÉ{EN GÉNÉRAL} | 49 CO, 180 CP, 181 CP, 42 al. 1 CP, 47 CP, 49 al. 1 CP, 10 al. 3 CPP (CH), 429 CPP (CH), 433 CPP (CH)</w:t>
      </w:r>
    </w:p>
    <w:p>
      <w:pPr>
        <w:pStyle w:val="Heading2"/>
      </w:pPr>
      <w:r>
        <w:t>Erwägungen</w:t>
      </w:r>
    </w:p>
    <w:p>
      <w:r>
        <w:rPr>
          <w:b/>
        </w:rPr>
        <w:t>E. 4.1</w:t>
      </w:r>
    </w:p>
    <w:p>
      <w:r>
        <w:t>L’appelant conteste la peine infligée.</w:t>
      </w:r>
    </w:p>
    <w:p>
      <w:r>
        <w:rPr>
          <w:b/>
        </w:rPr>
        <w:t>E. 4.2.1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citées ; TF 6B_144/2019 du 17 mai 2019 consid. 4.3.1).</w:t>
      </w:r>
    </w:p>
    <w:p>
      <w:r>
        <w:rPr>
          <w:b/>
        </w:rPr>
        <w:t>E. 4.3</w:t>
      </w:r>
    </w:p>
    <w:p>
      <w:r>
        <w:t>En l’occurrence, P.________ est en définitive condamné pour dommages à la propriété et menaces en relation avec les cas n° 2 à 5 de l’acte d’accusation. Sa culpabilité n’est pas négligeable. Avec le premier juge, on relèvera que le prénommé, ancien policier, n’a pas hésité à s’en prendre à ses voisins car B.F.________ ne répondait pas à ses avances et qu’il s’est mal comporté devant les enfants du couple A.F.________ alors qu’il reprochait lui-même aux plaignants de mêler leurs enfants à cette situation conflictuelle (PV aud. 5, ligne 146). En outre, il n’a pas respecté les divers engagements pris, notamment devant le médiateur de la police, puisqu’il a continué dans ses agissements, passant des menaces gestuelles aux menaces verbales. Sa prise de conscience de la gravité des faits est quasiment nulle, puisqu’il n’a cessé de se poser en victime, décrivant la plaignante comme une « menteuse et une manipulatrice », et n’a pas reconnu le caractère inadéquat de son comportement, si ce n’est le fait d’avoir lancé des bouteilles dans la propriété des plaignants « par méprise » et avoir imité le bruit de la poule pour « [se ]fout[re] de leur gueule » (PV aud. 3, R. 26, 28 et 29). A décharge, on retiendra que le comportement de B.F.________ avant les faits reprochés au prévenu n’a pas été exemplaire, pour les motifs retenus par le premier juge (jugt, p. 21 in initio ), et que l’appelant a pu croire que la prénommée était intéressée par lui, se sentant ensuite blessé par le désintérêt qu’elle a manifestée. Les menaces en relation avec le fait de mimer le geste de tuer avec une arme la plaignante, qui était accompagnée de ses enfants (cas n° 4 de l’acte d’accusation), justifie une peine pécuniaire de 40 jours. Par l’effet du concours, il convient d’aggraver la peine de 20 jours pour les menaces verbales (cas n° 5 de l’acte d’accusation), ainsi que de 60 jours supplémentaires pour les dommages à la propriété, soit 30 jours pour les dégâts au véhicule du plaignant (cas n° 2 de l’acte d’accusation) et 30 jours pour les dégâts au jardin (cas n° 3 de l’acte d’accusation), ce qui donne un total de 120 jours-amende. Vu la situation financière de l’appelant, le montant du jour-amende, fixé à 40 fr., peut être confirmé.</w:t>
      </w:r>
    </w:p>
    <w:p>
      <w:r>
        <w:rPr>
          <w:b/>
        </w:rPr>
        <w:t>E. 5</w:t>
      </w:r>
    </w:p>
    <w:p>
      <w:r>
        <w:t>Il reste la question du sursis.</w:t>
      </w:r>
    </w:p>
    <w:p>
      <w:r>
        <w:rPr>
          <w:b/>
        </w:rPr>
        <w:t>E. 5.1</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précité consid. 4.2.1). Le juge dispose d'un large pouvoir d'appréciation en la matière (TF 6B_392/2016 du 10 novembre 2016 ; ATF 134 IV 1 précité consid. 5.2).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5.2</w:t>
      </w:r>
    </w:p>
    <w:p>
      <w:r>
        <w:t>En l’espèce, le premier juge relève, en page 15 du jugement, que P.________ n’a jamais été condamné, alors qu’en page 20, il est mentionné que le prénommé a été condamné le 5 août 2020, sans plus amples explications. De fait, cette date correspond à celle de l’ordonnance pénale qui a été frappée d’opposition et qui tient lieu d’acte d’accusation. Par conséquent, il s’agit bel et bien d’un délinquant primaire et la Cour de céans ne partage pas l’appréciation du premier juge selon laquelle la peine doit être ferme au motif qu’un pronostic favorable ne peut être posé. Quand bien même le prévenu n’a pas tenu ses engagements pris lors de la médiation et ne semble pas se remettre sérieusement en question, on peut partir du principe que la menace d’exécuter une peine pécuniaire, d’une durée non négligeable, est suffisante pour le dissuader de récidiver, l’appelant étant par ailleurs correctement socialisé. Pour assurer l’amendement durable du prévenu, qui a réitéré en cours d’enquête, le délai d’épreuve sera fixé à trois ans.</w:t>
      </w:r>
    </w:p>
    <w:p>
      <w:r>
        <w:rPr>
          <w:b/>
        </w:rPr>
        <w:t>E. 6.1</w:t>
      </w:r>
    </w:p>
    <w:p>
      <w:r>
        <w:t>Fondé sur la prémisse de son acquittement, l’appelant conteste la répartition des frais et dépens.</w:t>
      </w:r>
    </w:p>
    <w:p>
      <w:r>
        <w:rPr>
          <w:b/>
        </w:rPr>
        <w:t>E. 6.2.1</w:t>
      </w:r>
    </w:p>
    <w:p>
      <w:r>
        <w:t>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w:t>
      </w:r>
    </w:p>
    <w:p>
      <w:r>
        <w:rPr>
          <w:b/>
        </w:rPr>
        <w:t>E. 6.2.2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peut toutefois réduire ou refuser l'indemnité si le prévenu a provoqué illicitement et fautivement l'ouverture de la procédure (art. 430 al. 1 let. a CPP).</w:t>
      </w:r>
    </w:p>
    <w:p>
      <w:r>
        <w:rPr>
          <w:b/>
        </w:rPr>
        <w:t>E. 6.2.3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 2.1).</w:t>
      </w:r>
    </w:p>
    <w:p>
      <w:r>
        <w:rPr>
          <w:b/>
        </w:rPr>
        <w:t>E. 6.2.4</w:t>
      </w:r>
    </w:p>
    <w:p>
      <w:r>
        <w:t>Aux termes de l'art. 49 al. 1 CO, celui qui subit une atteinte illicite à sa personnalité a droit à une somme d'argent à titre de réparation morale, pour autant que la gravité de l'atteinte le justifie et que l'auteur ne lui ait pas donné satisfaction autrement.</w:t>
      </w:r>
    </w:p>
    <w:p>
      <w:r>
        <w:rPr>
          <w:b/>
        </w:rPr>
        <w:t>E. 6.3</w:t>
      </w:r>
    </w:p>
    <w:p>
      <w:r>
        <w:t>En l’espèce, s’agissant des frais de la cause, il y a lieu de constater que P.________ est à l’origine de l’action pénale, même s’il a été libéré d’un cas de menaces (ch. 6 de l’acte d’accusation) et de l’infraction de contrainte. Il a en effet dès le départ adopté un comportement civilement répréhensible à l’encontre de la famille A.F.________, qu’il a réitéré malgré ses engagements, en violation notamment de l’art. 28 CC. Le comportement de l’appelant est ainsi propre à justifier l'imputation de l’entier des frais de procédure. L’appelant estime qu’une indemnité de l’art. 429 CPP aurait dû lui être octroyée pour ses frais d’avocat. Cette prétention est toutefois sans objet, la condamnation devant être confirmée. S’agissant ensuite du tort moral alloué à B.F.________, le montant – modeste – de 500 fr. accordé par le tribunal peut être confirmé, même si la contrainte n’est pas retenue, la somme de 1'000 fr. réclamée en appel par la partie plaignante (p. 7 supra ) n’étant pas justifiée. Cette conclusion est d’ailleurs irrecevable puisque l’intimée n’a pas formé appel, ni appel joint contre le jugement entrepris. Enfin, le montant alloué par le premier juge à titre d’indemnité de l’art. 433 CPP, par 11'658 fr. 80, non contesté pour lui-même, sera réduit à 8'000 fr., vu l’issue de la cause, l’intimée n’étant d’ailleurs plaignante que pour une partie des faits et le prévenu ayant été libéré de toute infraction concernant les cas n° 1 et 6 de l’acte d’accusation.</w:t>
      </w:r>
    </w:p>
    <w:p>
      <w:r>
        <w:rPr>
          <w:b/>
        </w:rPr>
        <w:t>E. 7</w:t>
      </w:r>
    </w:p>
    <w:p>
      <w:r>
        <w:t>En définitive, l’appel est partiellement admis et le jugement entrepris réformé aux chiffres I à III de son dispositif et par l’ajout d’un chiffre Ibis dans le sens des considérants qui précèdent. Vu l’issue de la cause, les frais de la procédure d'appel, constitués en l’espèce de l’émolument du présent jugement, par 2'900 fr. (art. 21 al. 1 et 2 TFIP [tarif des frais de procédure et indemnités en matière pénale du 28 septembre 2010 ; BLV 312.03.1]), seront mis par moitié à la charge de P.________, le solde étant laissé, en équité, à la charge de l’Etat. L’appelant, qui obtient partiellement gain de cause et qui a procédé avec l’assistance d’un mandataire professionnel, requiert l’octroi d’une indemnité au sens de l’art. 429 CPP pour la procédure d’appel. Quant à la plaignante, qui a procédé par un conseil de choix et qui a conclu à l’octroi d’une indemnité pour les dépenses obligatoires occasionnées par la procédure d’appel, elle obtient également partiellement gain de cause, ayant conclu au rejet de l’appel. Ainsi, tant l’appelante que le plaignant succombent partiellement dans leurs conclusions. L’activité de leur conseil respectif en procédure d’appel peut être jugée équivalente. Les dépens d’appel seront ainsi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