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235 vom 2. Juli 2020</w:t>
      </w:r>
    </w:p>
    <w:p>
      <w:r>
        <w:t>VD Tribunal cantonal, 2020-07-02, FR</w:t>
      </w:r>
    </w:p>
    <w:p>
      <w:r>
        <w:rPr>
          <w:b/>
        </w:rPr>
        <w:t xml:space="preserve">Quelle: </w:t>
      </w:r>
      <w:r>
        <w:t>https://mcp.opencaselaw.ch/entscheid/vd_findinfo_Jug___2021___235</w:t>
      </w:r>
    </w:p>
    <w:p>
      <w:r>
        <w:t>FR: VD_FINDINFO Jug / 2021 / 235 du 2 juillet 2020</w:t>
      </w:r>
    </w:p>
    <w:p>
      <w:r>
        <w:t>IT: VD_FINDINFO Jug / 2021 / 235 del 2 luglio 2020</w:t>
      </w:r>
    </w:p>
    <w:p>
      <w:pPr>
        <w:pStyle w:val="Heading2"/>
      </w:pPr>
      <w:r>
        <w:t>Regeste</w:t>
      </w:r>
    </w:p>
    <w:p>
      <w:r>
        <w:t>FIXATION DE LA PEINE, SURSIS À L'EXÉCUTION DE LA PEINE, JEUNE ADULTE, MESURE{DROIT PÉNAL} | 19 al. 2 CP, 42 al. 1 CP, 47 CP, 48 let. c CP, 61 CP</w:t>
      </w:r>
    </w:p>
    <w:p>
      <w:pPr>
        <w:pStyle w:val="Heading2"/>
      </w:pPr>
      <w:r>
        <w:t>Erwägungen</w:t>
      </w:r>
    </w:p>
    <w:p>
      <w:r>
        <w:rPr>
          <w:b/>
        </w:rPr>
        <w:t>E. 1</w:t>
      </w:r>
    </w:p>
    <w:p>
      <w:r>
        <w:t>Interjeté dans les formes et délais légaux (art. 399 CPP), par le prévenu ayant qualité pour recourir (art. 382 al. 1 CPP) contre le jugement d’un tribunal de première instance qui a clos la procédure (art. 398 al. 1 CPP), l’appel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conteste la peine qui lui a été infligée, qu’il estime excessive et disproportionnée. Il explique avoir pris conscience de la gravité de ses actes et invoque l'art. 48 let. c, subsidiairement l'art. 48 let a ch. 2 CP, au motif qu'il aurait été dans un état de profond désarroi ou dans une détresse profonde. Il requiert le prononcé d'une peine pécuniaire, les infractions ayant toutes été commises sous l'ancien droit. L'appelant requiert également l’octroi du sursis, au motif qu'il est un délinquant primaire, relevant que les premiers juges se seraient fondés sur l’expertise psychiatrique au dossier pour établir un pronostic défavorable, mais que sa force probante sur le risque de récidive serait relative dans la mesure où l’expertise de 2018 ne serait plus d’actualité.</w:t>
      </w:r>
    </w:p>
    <w:p>
      <w:r>
        <w:rPr>
          <w:b/>
        </w:rPr>
        <w:t>E. 3.2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w:t>
      </w:r>
    </w:p>
    <w:p>
      <w:r>
        <w:rPr>
          <w:b/>
        </w:rPr>
        <w:t>E. 3.2.1</w:t>
      </w:r>
    </w:p>
    <w:p>
      <w:r>
        <w:t>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ATF 118 IV 233 consid. 2a). Le plus souvent, il est rendu excusable par le comportement blâmable de la victime à l'égard de l'auteur, mais il peut aussi l'être par le comportement d'un tiers ou par des circonstances objectives (ATF 119 IV 202 précité). L'examen du caractère excusable d'un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ATF 107 IV 105 consid. 2b ; CAPE 12 novembre 2019/355 consid. 8.2.3 et les références citées). Pour que la circonstance atténuante invoquée puisse être prise en considération, il faut en outre qu'il existe une certaine proportionnalité entre les circonstances objectives, d'une part, et la réaction de l'auteur, d'autre part (TF 6B_622/2008 du 13 janvier 2009 consid. 8.1; TF 6B_517/2008 du 27 août 2008 consid. 5.3.2 ; CAPE 12 novembre 2019/355 consid. 8.2.3 et les références citées). Selon l'art. 48 let. a ch. 2 CP, le juge atténue la peine si l'auteur a agi dans une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p. 95).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En revanche, l'absence de faute antérieure n'est pas requise (ATF 110 IV 9 consid. 2, p. 10).</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3.2.2.1</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p. 219 ; ATF 137 IV 57 consid. 4.3.1 p. 58).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3.2.2.2</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 TF 6B_688/2014 du 22 décembre 2017 consid. 27.2.1; plus récemment TF 6B_1175/2017 du 11 avril 2018 consid. 2.1).</w:t>
      </w:r>
    </w:p>
    <w:p>
      <w:r>
        <w:rPr>
          <w:b/>
        </w:rPr>
        <w:t>E. 3.2.2.3</w:t>
      </w:r>
    </w:p>
    <w:p>
      <w:r>
        <w:t>L'auteur ne doit pas être condamné plus sévèrement lorsque plusieurs infractions sont jugées en même temps que si ces infractions étaient jugées séparément.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est contraire à l'art. 49 al. 1, 3 e phrase, CP qui prescrit que le juge est lié par le maximum légal de la peine (cf. ATF 144 IV 217 consid. 3.3.3 p. 227). L'admettre signifierait de plus revenir de manière générale à la méthode abstraite, dans le cadre de laquelle le genre de peine n'est fixé qu'après que la quotité de la peine d'ensemble l'ait été.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 e phrase, CP peuvent ainsi conduire à des résultats discutables :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 er janvier 2018 (cf. problématique déjà abordée dans l'ATF 144 IV 217 consid. 3.6 p. 237).</w:t>
      </w:r>
    </w:p>
    <w:p>
      <w:r>
        <w:rPr>
          <w:b/>
        </w:rPr>
        <w:t>E. 3.3</w:t>
      </w:r>
    </w:p>
    <w:p>
      <w:r>
        <w:t>Dans sa teneur en vigueur jusqu'au 31 décembre 2017,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en vigueur depuis le 1 er janvier 2018 (RO 2016 1249 ; FF 2012 4385), n'est pas plus favorable au prévenu que l'ancienne.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Pour formuler un pronostic sur l'amendement de l'auteur exigé par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Dans l'émission du pronostic, le juge dispose d'un large pouvoir d'appréciation. Le Tribunal fédéral n'intervient que s'il en a abusé, notamment lorsqu'il a omis de tenir compte de critères pertinents et s'est fondé exclusivement sur les antécédents du condamné (ATF 134 IV 140 consid. 4.2 p. 143 ; ATF 133 IV 201 consid. 2.3 p. 204).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ATF 134 IV 1 consid. 3.1; TF 6B_1227/2015 du 29 juillet 2016 consid. 1.2.4 et les références citées).</w:t>
      </w:r>
    </w:p>
    <w:p>
      <w:r>
        <w:rPr>
          <w:b/>
        </w:rPr>
        <w:t>E. 3.4</w:t>
      </w:r>
    </w:p>
    <w:p>
      <w:r>
        <w:t>L'appelant plaide l'application de l'art. 48 let. c CP, subsidiairement de l'art. 48 let. a ch. 2 CP, au motif que les actes répréhensibles auraient été commis dans un état de profond désarroi, ou à tout le moins dans une détresse profonde, d'ailleurs soulignée par les experts. L'expertise de 2018 se prononçait clairement sur l'état dépressif de l'intéressé. En effet, selon les termes de ce rapport, l'expertisé souffrait d'un trouble dépressif récurent, alors en plein épisode sévère, sans symptômes psychotiques, et d’un trouble de la préférence sexuelle, sans précision. La dépression dont souffrait l'expertisé dans un contexte socio-familial précaire et dans le contexte de migration avait contribué à son isolement social ; X.________ cherchait ainsi un échappatoire dans les recherches sur internet de matériel pornographique. L'état dépressif chronique avait conduit à des distorsions dans l'organisation psychoaffective de l'expertisé ayant comme conséquence une immaturité affective avec défauts de mentalisation et prédominance des agirs. Le fonctionnement social était altéré par la restriction durable des potentialités, la mauvaise gestion de l'impulsivité et de l'angoisse et les sentiments de moindre valeur qui le conduisaient à une répétition des échecs et isolement social. L'épisode dépressif sévère constaté en 2018 était caractérisé par un état de détresse dans lequel l'expertisé était incapable de poursuivre ses activités sociales et professionnelles. Selon les experts, ces troubles étaient en lien avec les faits reprochés à l'appelant, raison pour laquelle ils avaient estimé que si l'expertisé avait été capable d'apprécier le caractère illicite de ses actes, l'état dépressif dont il souffrait, associé à un trouble de la préférence sexuelle, avait en revanche altéré sa capacité de se déterminer en conséquence et diminué la possibilité de prendre en compte des alternatives de comportements plus adaptées. Ainsi, les actes qui lui sont reprochés constituaient, selon les experts, l'expression symptomatique des angoisses et des affects dépressifs qui n'ont pas pu être élaborés, dans un but d'évacuer la souffrance restée à l'état brut. Dans ce contexte, les experts ont qualifié la responsabilité de l'expertisé de moyennement restreinte. Le complément d’expertise du 1 er février 2021 ne modifie pas les conclusions expertales sur ce point. Ainsi, il y a lieu de constater que l'état dépressif, caractérisé par un état de détresse, a déjà été pris en compte dans le cadre de la diminution de responsabilité, de sorte qu'il ne saurait en être tenu compte une seconde fois sous l'angle de l'art. 48 let a ou c CP. Mal fondé, le moyen doit être rejeté.</w:t>
      </w:r>
    </w:p>
    <w:p>
      <w:r>
        <w:rPr>
          <w:b/>
        </w:rPr>
        <w:t>E. 3.5</w:t>
      </w:r>
    </w:p>
    <w:p>
      <w:r>
        <w:t>L'appelant requiert le prononcé d'une peine pécuniaire de 360 jours. S'agissant de l'infraction de pornographie, une peine privative de liberté se justifie pour des motifs de prévention spéciale. En effet, d'une part, l'appelant a agi pendant plusieurs années, téléchargeant des milliers de fichiers de pornographie enfantine. D'autre part, il a recommencé en 2018 alors qu'une première enquête était en cours et qu'il bénéficiait d'un suivi psychologique auprès du Service de médecine et de psychiatrie pénitentiaires (SMPP), entamé dès son interpellation en 2017. Vers la fin de l'année 2018, il a cessé tout suivi. La culpabilité de X.________ est importante tant au regard du nombre de fichiers téléchargés que parce qu'il s'en est pris une seconde fois en cours d’enquête à l'un des biens juridiquement protégés les plus importants, sans scrupules, pour satisfaire ses pulsions sexuelles. A charge, on devra retenir que la prise de conscience dont se prévaut l’appelant est toute relative et ne transparaît pour l’essentiel que dans les propos de son avocat. Sur la base des conclusions de l’expertise, dont il n’y a pas lieu de s’écarter, la responsabilité pénale au moment des faits était moyennement restreinte, si bien que la faute doit être réduite dans cette mesure. A décharge, on retiendra le jeune âge de l’appelant, sa situation familiale et sociale précaire ainsi que l’écoulement du temps. L'absence d'antécédent a en revanche un effet neutre sur la fixation de la peine et n'a donc pas à être prise en considération dans un sens atténuant. Tout bien considéré et en tenant compte de la diminution moyenne de la responsabilité pénale, c’est ainsi une peine privative de liberté de 10 mois qui doit être prononcée pour sanctionner l’infraction de pornographie. S'agissant de l'infraction de conduite d'un véhicule automobile sans autorisation, s’agissant d’une première infraction dans ce domaine, la sanction qui doit être prononcée sera une peine pécuniaire, une peine privative de liberté ne se justifiant pas pour réprimer cette infraction. Au vu de la gravité de la faute, elle sera arrêtée à 30 jours, le montant du jours-amende étant fixé à 30 francs. Enfin, il y a lieu de prononcer une amende dont la quotité globale sera arrêtée à 500 fr. pour sanctionner la violation simple des règles de la circulation routière et la contravention à la LStup. La peine privative de liberté de substitution sera fixée à cinq jours.</w:t>
      </w:r>
    </w:p>
    <w:p>
      <w:r>
        <w:rPr>
          <w:b/>
        </w:rPr>
        <w:t>E. 3.6</w:t>
      </w:r>
    </w:p>
    <w:p>
      <w:r>
        <w:t>S’agissant de l’octroi du sursis, contrairement à ce qu’a fait plaider l’appelant, le pronostic est résolument défavorable, bien qu’il s’agisse d’un délinquant primaire. Certes, X.________ ne conteste pas les faits qui lui sont reprochés et n'a pas d'antécédents. Reste que les experts ont admis que le risque de récidive est important sans l’étayage nécessaire tant sur le plan éducatif que sur le plan psychique. Il ressort du complément d’expertise de février 2021, que l’équilibre psychique de l’expertisé demeure fragile et en grande partie dépendant de l’environnement. Or, alors même qu’il sait depuis 2017 qu’un suivi psychologique régulier est nécessaire, il a mis un terme à celui qui avait été mis en place après son interpellation et il est parti s’installer en Espagne, avant de revenir en Suisse puis de repartir en Espagne. Le fait qu’il estime aujourd’hui aller beaucoup mieux, avoir trouvé un équilibre, accepter son homosexualité et ne pas avoir besoin de suivi thérapeutique est donc plutôt inquiétant au vu des conclusions des experts qui ont insisté sur l’importance de mettre en place un tel suivi accompagné de mesures éducatives permettant d’apporter à l’intéressé la structuration, la contenance et la réassurance nécessaires. L’attitude de l’appelant tend ainsi à démontrer une absence inquiétante de prise de conscience de sa problématique. Au demeurant, à l’instar des premiers juges, la Cour de céans constate que l’octroi d’un sursis est d’autant plus exclu que la mesure préconisée par les experts, soit le placement du prévenu en foyer éducatif pour jeunes adultes à forme de l’art. 61 CP, doit être prononcée (cf. consid. 4 ci-dessous). Or, sursis et mesures sont incompatibles. En effet, la mesure doit être de nature à écarter un risque de récidive et, partant, suppose qu'un tel risque existe. Le prononcé d’une mesure implique donc nécessairement un pronostic négatif (arrêt CAPE du 26 juillet 2017, n° 277 et les références citées).</w:t>
      </w:r>
    </w:p>
    <w:p>
      <w:r>
        <w:rPr>
          <w:b/>
        </w:rPr>
        <w:t>E. 4.1</w:t>
      </w:r>
    </w:p>
    <w:p>
      <w:r>
        <w:t>L'appelant conteste la mesure institutionnelle prononcée, relevant que sa situation aurait évolué depuis 2018. Il relève également qu'aucun établissement approprié ne serait disponible.</w:t>
      </w:r>
    </w:p>
    <w:p>
      <w:r>
        <w:rPr>
          <w:b/>
        </w:rPr>
        <w:t>E. 4.2</w:t>
      </w:r>
    </w:p>
    <w:p>
      <w:r>
        <w:t>L'art. 61 al. 1 CP prévoit que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La mesure prévue à l'art. 61 CP est ordonnée principalement en raison de l'état personnel du jeune adulte délinquant et de sa capacité à recevoir un soutien socio-pédagogique et thérapeutique pouvant influencer favorablement le développement de sa personnalité (Message du 21 septembre 1998, FF 1999 1887 ch. 213.423).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l'art. 61 CP sont remplies, le juge est tenu d'ordonner ce placement (ATF 144 IV 49 ; TF 6B 475/2009 précité consid. 1.1.2.3; cf. ATF 125 IV 237 consid. 6b p. 241). Pour ordonner une des mesures prévues aux art. 59-61,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w:t>
      </w:r>
    </w:p>
    <w:p>
      <w:r>
        <w:rPr>
          <w:b/>
        </w:rPr>
        <w:t>E. 4.3</w:t>
      </w:r>
    </w:p>
    <w:p>
      <w:r>
        <w:t>Tant les conclusions du rapport d'expertise du 2 novembre 2018 que celles de son complément du 1 er février 2021 préconisent un traitement institutionnel dans un foyer pour jeunes adultes. En effet, pour les experts, le risque de récidive élevé ne peut être contrebalancé que par des soins adaptés et la mise en place de mesures éducatives, sous la forme d’un traitement à moyen ou long terme – non seulement pour les soins d'état dépressif isolé, mais principalement pour la récurrence de la symptomatologie et les conséquences que la persistance de cet état a pu avoir dans la construction de la personnalité de l'appelant et l'installation d'un état d'insécurité de fond – accompagné par des mesures éducatives, susceptibles d’apporter à l'expertisé la structuration, contenance et réassurance nécessaires. A la lecture des conclusions des experts, dont il n’y a pas lieu de s’écarter, et considérant l’abandon par l’appelant du suivi qui avait pourtant été mis en place en 2017, force est de constater que X.________ ne dispose actuellement pas des ressources psychiques nécessaires pour bénéficier d'un suivi psychothérapeutique sans qu'il soit inscrit dans le cadre d'une psychothérapie institutionnelle, alors qu’un tel suivi est nécessaire. Le placement institutionnel est donc de nature à influencer favorablement le développement de la personnalité de ce jeune adulte et il est nécessaire. Au regard des éléments précités, les conditions au prononcé d'une mesure au sens de l'art. 61 CP sont donc réalisées. Enfin, s’agissant de l’argument de l'appelant consistant à dire qu’il n'y aurait pas de place disponible au Foyer St-Louis à Fribourg, il y a lieu de relever qu'il ne s'agit pas d'un empêchement au prononcé de la mesure, dès lors que, d'une part, cette information remonte au mois de juillet 2020 et que la situation est toujours évolutive, et que, d'autre part, il existe d'autres établissements adaptés.</w:t>
      </w:r>
    </w:p>
    <w:p>
      <w:r>
        <w:rPr>
          <w:b/>
        </w:rPr>
        <w:t>E. 5</w:t>
      </w:r>
    </w:p>
    <w:p>
      <w:r>
        <w:t>Dans le cadre de son mémoire d’appel, X.________ contestait encore la mesure d’expulsion ordonnée à son encontre. Cette conclusion a toutefois été retirée à l’audience d’appel, si bien qu’il y a lieu de confirmer cette mesure, l'intérêt privé de l'appelant à pouvoir demeurer en Suisse n'étant pas prépondérant. On relèvera au demeurant que l’appelant est aujourd’hui établi en Espagne, ce qui tend à démontrer que son centre de vie ne se trouve pas en Suisse.</w:t>
      </w:r>
    </w:p>
    <w:p>
      <w:r>
        <w:rPr>
          <w:b/>
        </w:rPr>
        <w:t>E. 6</w:t>
      </w:r>
    </w:p>
    <w:p>
      <w:r>
        <w:t>En définitive, l’appel de X.________ doit être partiellement admis et le jugement entrepris réformé dans le sens des considérants qui précèdent. Sur la base de la liste d’opérations produite par Me Dario Barbosa, défenseur d’office de X.________, dont il n'y a lieu de s'écarter que pour rectifier le temps de l’audience à 40 minutes en lieu et place des 90 comptabilisées et de déduire le temps d’entretien avec le client après l’audience compte tenu du défaut de celui-ci, c'est une indemnité de 2'897 fr. 55, correspondant à 14h heures d'activité d'avocat breveté au tarif horaire de 180 fr., plus des débours forfaitaires à concurrence de 2%, par 50 fr. 40, une vacation à 120 fr., et la TVA, par 207 fr. 15, qui doit lui être allouée. Vu l’issue de la cause, les frais de la procédure d’appel, par 9'797 fr. 55, soit l’émolument de jugement par 2’600 fr. (art. 21 al. 1 et 2 TFIP [Tarif des frais de procédure et indemnités en matière pénale du 28 septembre 2010 ; BLV 312.03.1]) l’indemnité allouée au défenseur d’office de l’appelant, par 2'897 fr. 55, ainsi que des frais liés au complément d’expertise psychiatrique, par 4'300 fr., seront mis par trois-quarts, soit 7'348 fr. 15, à la charge de X.________, le solde étant laissé à la charge de l’Etat (art. 428 al. 1, 1 re phrase, CPP). L’appelant ne sera tenu de rembourser à l’Etat la part du montant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