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221 vom 30. November 2020</w:t>
      </w:r>
    </w:p>
    <w:p>
      <w:r>
        <w:t>VD Tribunal cantonal, 2020-11-30, FR</w:t>
      </w:r>
    </w:p>
    <w:p>
      <w:r>
        <w:rPr>
          <w:b/>
        </w:rPr>
        <w:t xml:space="preserve">Quelle: </w:t>
      </w:r>
      <w:r>
        <w:t>https://mcp.opencaselaw.ch/entscheid/vd_findinfo_Jug___2021___221</w:t>
      </w:r>
    </w:p>
    <w:p>
      <w:r>
        <w:t>FR: VD_FINDINFO Jug / 2021 / 221 du 30 novembre 2020</w:t>
      </w:r>
    </w:p>
    <w:p>
      <w:r>
        <w:t>IT: VD_FINDINFO Jug / 2021 / 221 del 30 novembre 2020</w:t>
      </w:r>
    </w:p>
    <w:p>
      <w:pPr>
        <w:pStyle w:val="Heading2"/>
      </w:pPr>
      <w:r>
        <w:t>Regeste</w:t>
      </w:r>
    </w:p>
    <w:p>
      <w:r>
        <w:t>DROIT D'ÊTRE ENTENDU, ADMINISTRATION DES PREUVES, MENACE{DROIT PÉNAL}, PRÉSOMPTION D'INNOCENCE, ACTE D'ORDRE SEXUEL AVEC UN ENFANT, CONTRAINTE SEXUELLE, CONTRAINTE{DROIT PÉNAL}, FIXATION DE LA PEINE, RÉPARTITION DES FRAIS, INDEMNITÉ{EN GÉNÉRAL}, TORT MORAL | 180 CP, 181 CP, 187 ch. 1 al. 1 CP, 189 al. 1 CP, 47 CP, 49 CP, 10 CPP (CH), 147 al. 1 CPP (CH), 429 CPP (CH), 433 CPP (CH)</w:t>
      </w:r>
    </w:p>
    <w:p>
      <w:pPr>
        <w:pStyle w:val="Heading2"/>
      </w:pPr>
      <w:r>
        <w:t>Erwägungen</w:t>
      </w:r>
    </w:p>
    <w:p>
      <w:r>
        <w:rPr>
          <w:b/>
        </w:rPr>
        <w:t>E. 1</w:t>
      </w:r>
    </w:p>
    <w:p>
      <w:r>
        <w:t>Interjeté dans les formes et délais légaux (art. 399 CPP), par la prévenue ayant la qualité pour recourir (art. 382 al. 1 CPP) contre le jugement d’un tribunal de première instance qui a clos la procédure (art. 398 al. 1 CPP), l’appel de B.B.________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Invoquant une violation de son droit d’être entendue et de l’art. 180 CP, l’appelante relève que l’intimé n’a jamais été interrogé au sujet des menaces proférées et qu’il n’a d’ailleurs jamais eu peur, dès lors qu’il est resté au domicile conjugal et qu’il a cherché à la maîtriser physiquement.</w:t>
      </w:r>
    </w:p>
    <w:p>
      <w:r>
        <w:rPr>
          <w:b/>
        </w:rPr>
        <w:t>E. 3.2.1</w:t>
      </w:r>
    </w:p>
    <w:p>
      <w:r>
        <w:t>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 e éd., Berne 2010, n. 8 ad art. 180 CP). Le juge dispose d'un certain pouvoir d'appréciation pour dire si la menace doit être qualifiée de grave (ATF 99 IV 212 consid. 1a ; TF 6B_1009/2014 du 2 avril 2015 consid. 3.1). Les menaces de lésions corporelles graves ou de mort doivent être considérées comme des menaces graves au sens de l'art. 180 CP (TF 6B_1428/2016 du 3 octobre 2017 consid. 2.1 et réf. cit.). Subjectivement, l'auteur doit avoir l'intention non seulement de proférer des menaces graves, mais aussi d'alarmer ou d'effrayer le destinataire. Le dol éventuel suffit (TF 6B_787/2018 du 1er octobre 2018 consid. 3.1 ; TF 6B_1009/2014 du 2 avril 2015 consid. 3.1).</w:t>
      </w:r>
    </w:p>
    <w:p>
      <w:r>
        <w:rPr>
          <w:b/>
        </w:rPr>
        <w:t>E. 3.2.2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Selon l'art. 147 al. 1 CPP, les parties ont le droit d'assister à l'administration des preuves par le Ministère public et les tribunaux et de poser des questions aux comparants.</w:t>
      </w:r>
    </w:p>
    <w:p>
      <w:r>
        <w:rPr>
          <w:b/>
        </w:rPr>
        <w:t>E. 3.3</w:t>
      </w:r>
    </w:p>
    <w:p>
      <w:r>
        <w:t>En l’espèce, il n’est pas contesté que lors de leur dispute du 12 juin 2014, B.B.________ a menacé son mari par les termes « tu vas voir, je vais te casser la tête ». Quant au fait qu’elle se serait automutilée et qu’elle l’aurait menacé d’utiliser ses blessures contre lui, la prévenue l’a contesté à l’audience d’appel, alors que dans sa déclaration d’appel, elle n’a pas remis en cause la matérialité de ces faits, se limitant à soutenir que l’élément objectif de la menace grave ayant sérieusement alarmé ou effrayé son destinataire faisait défaut. Avec le premier juge, on doit préférer la version d’A.B.________, qui a tenu des déclarations claires et constantes, reconnaissant lui-même avoir giflé son épouse lors de cette dispute (P. 22/4), à celle de cette dernière qui, dans un premier temps, a affirmé qu’il n’y avait eu que des insultes, puis a avoué, face aux lésions constatées médicalement sur son mari ( ibidem ), l’avoir « peut-être » blessé sans s’en rendre compte, tout en minimisant la gravité de ses gestes. Compte tenu du contexte de violence dans lequel la dispute a eu lieu, la prévenue, qui a jeté un verre en direction de son mari et qui a admis « pouvoir avoir des excès de colère incontrôlable » (jugt, p. 4), n’apparaît donc pas crédible lorsqu’elle conteste – sans plus amples explications – les faits relatés par ce dernier en rapport avec les menaces proférées. Elle l’est d’autant moins que son amie présente au moment des faits l’a elle-même décrite comme « une personne instable » (P. 34) et que selon l'édition du journal des événements de police (JEP) relatif à l'intervention du 12 juin 2014 à son domicile, l’intéressée était rentrée chez elle « avinée » (P. 8/4). On ne voit d’ailleurs pas pourquoi A.B.________, qui ne s’est pas montré vindicatif et a même renoncé à déposer plainte pénale, aurait inventé ces menaces et l’appelante, qui admet finalement s’être rendue coupable de l’infraction de lésions corporelles simples, ne l’explique pas. Ces faits, exposés sous chiffre 1 de l’acte d’accusation (cf. supra consid. 2.1 dans la partie « En fait ») et qui résultent du constat médical établi par l’Unité de médecine des violences du 13 juin 2014, doivent donc être retenus tels quels. Ils constituent bel et bien des menaces. Contrairement à ce que soutient l’appelante, l’intimé a été entendu à ce sujet lors de son audition du 7 mai 2018, laquelle s’est déroulée en présence du défenseur de B.B.________ (PV aud. 4 p. 2). Partant, des questions pouvaient lui être posées dans ce cadre et on ne discerne aucune violation du droit d’être entendue de l’appelante à ce sujet. L’appelante conteste que l’intimé ait eu peur. Elle a tort. En effet, compte tenu du comportement de l’intéressée, qui a fait l’objet de plusieurs rapports de violences domestiques (P. 7/1, 7/2 et 19/2) et qui au moment des faits litigieux a jeté un verre en direction de son mari, celui-ci ne pouvait être qu’alarmé par les menaces proférées, auxquelles s’ajoutaient d’ailleurs des violences physiques. Il a du reste appelé la police, puis s’est rendu à l’Unité de médecine des violences. Lors de son audition du 6 juillet 2017, il a également déclaré avoir peur des réactions violentes de l’appelante (PV aud. 1 p. 3), ce qu’il a confirmé à l’audience d’appel (p. 4 supra ). Les griefs de l’appelante doivent donc être rejetés et l’infraction de menaces qualifiées confirmée.</w:t>
      </w:r>
    </w:p>
    <w:p>
      <w:r>
        <w:rPr>
          <w:b/>
        </w:rPr>
        <w:t>E. 4.1</w:t>
      </w:r>
    </w:p>
    <w:p>
      <w:r>
        <w:t>Invoquant une violation de la présomption d’innocence et des art. 187 et 189 CP, l’appelante conteste sa condamnation pour actes d’ordre sexuel et contrainte sexuelle.</w:t>
      </w:r>
    </w:p>
    <w:p>
      <w:r>
        <w:rPr>
          <w:b/>
        </w:rPr>
        <w:t>E. 4.2.1</w:t>
      </w:r>
    </w:p>
    <w:p>
      <w:r>
        <w:t>La présomption d'innocence, garantie par les art. 10 CPP, 32 al. 1 Cst., 14 par.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(ATF 144 IV 345 consid. 2.2.3.1 p. 348; ATF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145 IV 154 consid. 1.1 p. 155 s. et les références citées).</w:t>
      </w:r>
    </w:p>
    <w:p>
      <w:r>
        <w:rPr>
          <w:b/>
        </w:rPr>
        <w:t>E. 4.2.2</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(Bernard Corboz, Les infractions en droit suisse, vol. I, 3 e éd., 2010, p. 785 n. 4 ad art. 187 CP; Andreas Donatsch, Strafrecht III, 9 e éd., 2008, p. 458; Guido Jenny, Kommentar zum schweizerischen Strafgesetzbuch, Bes. Teil., vol. 4, 1997, p. 24, n. 6 ad art. 187 CP).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l'ATF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(Bernard Corboz, op. cit., p. 786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p. 63; TF 6B_7/2011 du 15 février 2011 consid. 1.4). Lorsque la victime est un enfant, la pratique tend à admettre l'existence d'un acte d'ordre sexuel même pour des attouchements furtifs par-dessus les habits, qui entraîneraient plutôt, entre adultes, l'application de l'art. 198 al. 2 CP (Bernard Corboz, op. cit., p. 786 n.</w:t>
      </w:r>
    </w:p>
    <w:p>
      <w:r>
        <w:rPr>
          <w:b/>
        </w:rPr>
        <w:t>E. 4.2.3</w:t>
      </w:r>
    </w:p>
    <w:p>
      <w:r>
        <w:t>Conformément à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4.2.4</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La contrainte est une infraction de résultat. Pour qu'elle soit consommée, il faut que la victime, sous l'effet de moyens de contrainte illicites, commence à modifier son comportement, subissant ainsi l'influence voulue par l'auteur (TF 6B_559/2020 du 23 septembre 2020 consid. 1.1).</w:t>
      </w:r>
    </w:p>
    <w:p>
      <w:r>
        <w:rPr>
          <w:b/>
        </w:rPr>
        <w:t>E. 4.3.1</w:t>
      </w:r>
    </w:p>
    <w:p>
      <w:r>
        <w:t>En l’espèce, contestant l’appréciation des preuves, l’appelante nie tout baiser lingual à son fils. Elle relève que le dévoilement de ce baiser n’est pas antérieur au 6 juin 2017, qu’il est intervenu après la séance au SPPEA (Service de psychiatrie et de psychothérapie de l’enfant et de l’adolescent) au fil des questions posées par le père à l’enfant, que les déclarations de L.________ interviennent dans le cadre d’un grave conflit parental et d’une instrumentalisation par le père et que, selon les experts, la crédibilité des déclarations de l’enfant ne peut être confirmée. Dans le cadre de son audition LAVI, l’enfant L.________ a spontanément parlé des violences infligées par sa mère. En revanche, les déclarations au sujet des baisers sur la bouche, dont une fois avec la langue, ainsi que les attouchements sur son sexe et ses fesses sont intervenues à la fin de l’audition sur une question suggérée par l’inspecteur, sans que l’enfant n’évoquât ces faits de manière spontanée. Dans le rapport de police du 10 septembre 2017, il est indiqué qu’aucun baiser lingual ne semble avoir été mentionné lors de la séance du 7 juin 2017 au SPPEA et que L.________ n’a jamais allégué spontanément avoir subi des attouchements de la part de la prévenue (P. 19). Dans leur rapport d’expertise, les psychologues [...] et [...] ont mentionné que leur analyse ne permettait pas de conclure à la crédibilité du discours de l’enfant, dans la mesure où la partie de l’entrevue policière portant sur les faits d’attouchement intervenait après une question suggérée par l’inspecteur, L.________ n’évoquant pas les faits de manière spontanée. Les faits d’attouchements sexuels étaient intervenus après une question suggérée alors que l’enfant avait explicitement transmis qu’il pensait avoir tout dit à l’inspecteur. Les expertes ont également relevé que le contexte de dévoilement s’était d’emblée situé en réponse à une question spécifique et suggérée de la part du père de L.________ à ce propos, ce qui ne permettait pas d’exclure la possibilité d’une contamination du discours de l’enfant (P. 71). On ne saurait s’écarter de cette expertise, qui est claire, complète et convaincante. Il n’y a pas lieu de distinguer le baiser lingual des autres attouchements, les déclarations au sujet de ce baiser étant également intervenues suite à une question orientée de l’inspecteur et dans le même contexte que les autres attouchements. Partant, on ne peut retenir que l’appelante a embrassé à une reprise son fils avec la langue.</w:t>
      </w:r>
    </w:p>
    <w:p>
      <w:r>
        <w:rPr>
          <w:b/>
        </w:rPr>
        <w:t>E. 4.3.2</w:t>
      </w:r>
    </w:p>
    <w:p>
      <w:r>
        <w:t>L’appelante ne conteste pas avoir embrassé son fils sur la bouche depuis qu’il était tout petit. Elle explique qu’elle agissait ainsi devant toute la famille, que ces actes n’étaient pas connotés sexuellement et qu’elle a cessé de le faire une fois que les thérapeutes lui ont expliqué qu’elle devait arrêter d’agir ainsi.</w:t>
      </w:r>
    </w:p>
    <w:p>
      <w:r>
        <w:rPr>
          <w:b/>
        </w:rPr>
        <w:t>E. 4.3.2.1</w:t>
      </w:r>
    </w:p>
    <w:p>
      <w:r>
        <w:t>Les premiers juges ont retenu que B.B.________ avait prodigué à réitérées reprises des baisers sur les lèvres de son fils L.________, passant outre son opposition, de sorte qu’il fallait admettre leur insistance. Le caractère sexuel de ces baisers était également corroboré par le baiser lingual administré à une reprise. Ils ont par conséquent condamné l’appelante pour actes d’ordre sexuel au sens de l’art. 187 ch. 1 CP et contrainte sexuelle au sens de l’art. 189 ch. 1 CP.</w:t>
      </w:r>
    </w:p>
    <w:p>
      <w:r>
        <w:rPr>
          <w:b/>
        </w:rPr>
        <w:t>E. 4.3.2.2</w:t>
      </w:r>
    </w:p>
    <w:p>
      <w:r>
        <w:t>Comme déjà dit ci-dessus, on ne peut retenir le baiser lingual. L’appelante admet en revanche avoir embrassé son fils sur la bouche à réitérées reprises. Il convient donc de déterminer si ces actes constituent des infractions au sens des articles précités. Lors de sa première audition, A.B.________ a relevé que lors d’une séance au SPPEA, L.________ avait dit devant Mme [...] et ses parents qu’il était forcé de faire des bisous à sa mère sur la bouche, qu’il est vrai qu’elle avait toujours fait ainsi depuis qu’il était tout petit, qu’il lui avait dit d’arrêter car leur enfant avait grandi, mais qu’elle l’avait renvoyé comme à chaque fois qu’ils discutaient de sujets en rapport avec L.________. Selon l’exposé chronologique du père joint à son premier procès-verbal d’audition et de ses déclarations aux débats de première instance, la rencontre au SPPEA où L.________ s’est plaint pour la première fois de bisous sur la bouche s’est déroulée le 7 juin 2017. L’assistante sociale, Mme [...], a alors réagi fermement en expliquant à l’appelante que cela n’était pas acceptable. A.B.________ a relevé que par la suite, il n’avait plus vu son épouse faire de bisous sur la bouche de son fils, qu’elle avait donc cessé, la suspectant toutefois de continuer de temps à temps à le faire, même s’il ne l’avait jamais vu en refaire (PV aud. 1 p. 6). Au cours de sa première audition, A.B.________ a également mentionné ce qui suit : « Elle [B.B.________] est aussi maladroite avec la façon d’exprimer ses sentiments à L.________. Par exemple, il y a ces histoires de bisous faits sur la bouche » (PV aud.1 p. 4). Il a également expliqué aux expertes qu’il ne voyait pas de mauvaises intentions chez la mère, mais que ces comportements étaient plutôt en lien avec un aspect culturel (P. 71 p. 12). Au regard de ces éléments, il existe un doute sur la réalisation de l’aspect subjectif des infractions prévues aux art. 187 et 189 CP. D’une part, l’appelante a toujours prodigué de tels baisers à son fils et ne s’en cachait pas, le faisant en présence de son mari et des autres membres de sa famille. D’autre part, elle a cessé de le faire une fois que des professionnels lui ont dit que cela n’était pas acceptable, étant encore relevé que cela lui a été expliqué en juin 2017 et que l’acte d’accusation ne porte que sur des baisers prodigués au mois de janvier 2017. Au regard des éléments précités, il convient de libérer l’appelante des infractions d’actes d’ordre sexuel avec des enfants et de contrainte sexuelle. En revanche, dans la mesure où la mère a, à tout le moins jusqu’au printemps 2017 – période qui coïncide avec les hospitalisations de l’enfant (PV aud. 3 lignes 194 et 195 ; PV aud. 2 p. 7 et 8) –, continué à embrasser son fils sur la bouche malgré l’opposition manifestée et exprimée par ce dernier, l’infraction de contrainte est réalisée (cf. ATF 125 IV 58 précité consid. 2c) pour la période de janvier 2017 (retenue dans l’acte d’accusation). L’appelante a d’ailleurs elle-même admis que son fils lui avait demandé d’arrêter et ce dès l’âge de 8 ans, mais qu’elle n’arrivait pas « à se contenir » (P. 83/2 p. 2 ; cf. PV aud. 2 p. 8 [« c’est vrai que L.________ m’a dit "maman, ne me fait pas des bisous sur la bouche" depuis l’âge de 8 ans environ »] ; cf. ég. PV aud. 3 lignes 193 et 194 où elle affirme que c’est depuis l’âge de 6 ans que son fils lui dit de ne plus l’embrasser sur les lèvres ; p. 3 supra ). Par ailleurs, on ne saurait suivre le raisonnement de l’appelante selon lequel l’infraction de contrainte ne pourrait pas être retenue car son fils n’avait pas la capacité de discernement au moment des faits, rien dans le dossier ne le démontrant, pas plus qu’on ne saurait dire que le fait d’embrasser un enfant sur la bouche contre sa volonté constituerait un acte autorisé par la loi en référence à l’art. 301 CC (P. 104) La prévenue doit donc être condamnée pour contrainte au sens de l’art. 181 CP. 5. 5.1 L’appelante conteste la peine infligée. 5.2 5.2.1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6B_144/2019 du 17 mai 2019 consid. 4.3.1). 5.3 En l’occurrence, B.B.________ est en définitive condamnée pour lésions corporelles simples qualifiées, menaces qualifiées et contrainte. La culpabilité de la prénommée, qui n’a pas hésité à s’en prendre à son mari et à son fils, n’est pas négligeable. Sa prise de conscience de la gravité des faits est quasiment nulle, puisqu’elle n’a cessé de se poser en victime et n’a pas reconnu le caractère inadéquat de son comportement, seule l’infraction de lésions corporelles simples commise sur son mari – dont les blessures ressortent du constat médical figurant au dossier – n’étant plus contestée en appel. La contrainte, commise à l’encontre de l’enfant L.________, âgé d’à peine 9 ans au moment des faits, justifie une peine de 3 mois. Par l’effet du concours, il convient d’aggraver la peine de 3 mois supplémentaires pour les faits survenus le 12 juin 2014 au détriment d’A.B.________, soit 45 jours pour les lésions corporelles simples qualifiées et 45 jours pour les menaces qualifiées. Le choix de peine pour chacune de ces infractions doit se porter sur une privation de liberté, pour des motifs de prévention spéciale, l’intéressée ne se remettant pas en question, de sorte qu’une peine complémentaire à la peine pécuniaire infligée à la prénommée en mars 2016 – qui plus est pour des faits d’un genre différent (infraction à la LCR) – ne se justifie pas. On aboutit ainsi à une peine privative de liberté d’ensemble de 6 mois. L’octroi du sursis doit être confirmé, ainsi que le délai d’épreuve de 3 ans qui tient compte de la prise de conscience quasiment nulle de la prévenue. 6. 6.1 L’appelante conteste la répartition des frais et dépens. 6.2 6.2.1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6.2.2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6.2.3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6.3 En l’espèce, l’appelante, qui a été mise au bénéfice d’une ordonnance de classement rendue le 26 août 2020 s’agissant des violences physiques sur son enfant, est certes libérée des infractions visées par les art. 187 et 189 CP. Toutefois, elle est condamnée pour contrainte en relation avec une partie des faits relatés sous chiffre 2 de l’acte d’accusation (cf. supra consid. 2.2 dans la partie « En fait »), ainsi que pour lésions corporelles simples qualifiées et menaces qualifiées. Il convient par conséquent de mettre les deux tiers des frais de première instance à sa charge, le solde étant laissé à la charge de l’Etat. L’indemnité de défenseur d’office de l’appelante accordée en première instance doit être répartie dans la même proportion. L’indemnité de l’art. 433 CPP allouée par le premier juge à l’intimé sera également réduite d’un tiers, celui-ci n’étant d’ailleurs plaignant que pour les faits qui concernent le chiffre 2 de l’acte d’accusation, à l’exclusion de ceux décrits sous le chiffre 1. Enfin, il n’y a pas lieu d’allouer à B.B.________ une indemnité pour tort moral, dès lors qu’elle a, par son comportement, porté atteinte à la personnalité des membres de sa famille et montré des carences parentales fautives (cf. P. 74/2 p. 20).</w:t>
      </w:r>
    </w:p>
    <w:p>
      <w:r>
        <w:rPr>
          <w:b/>
        </w:rPr>
        <w:t>E. 7</w:t>
      </w:r>
    </w:p>
    <w:p>
      <w:r>
        <w:t>En définitive, l’appel est partiellement admis et le jugement entrepris réformé aux chiffres I, IV, V et VI de son dispositif et par l’ajout d’un chiffre Ibis dans le sens des considérants qui précèdent. Me Matthieu Genillod, défenseur d’office de B.B.________, a produit une liste d'opérations faisant état d’une activité de 8h15, ce qui peut être admis. S’y ajoute le temps de l’audience d’appel, soit 1 heure. Ainsi, le montant des honoraires s'élève à 1'665 fr. ([9h15 x 180), auxquels s'ajoutent une vacation de 120 fr., des débours forfaitaires de 2 % par 33 fr. 30 et la TVA au taux de 7,7 % sur le tout par 140, de sorte que c'est une indemnité totale de 1'958 fr. 30 qui sera allouée à Me Genillod. Vu l’issue de la cause, les frais de la procédure d’appel, par 4'748 fr. 30, constitués de l’émolument d’arrêt (art. 21 al. 1 et 2 TFIP [tarif des frais de procédure et indemnités en matière pénale du 28 septembre 2010; BLV 312.03.1]), par 2'790 fr., et de l’indemnité allouée au défenseur d’office de l’appelante, par 1'958 fr. 30, seront mis par deux tiers à la charge de cette dernière, le solde étant laissé à la charge de l’Etat (art. 428 al. 1, 1 re phrase, CPP). Le remboursement à l'Etat des deux tiers de l’indemnité d'office ne sera exigible que pour autant que la situation économique de B.B.________ le permette (art. 135 al. 4 CPP). Enfin, aucune indemnité au sens de l'art. 433 al. 1 CPP pour la procédure d’appel ne sera allouée à A.B.________, qui n’en a pas requis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