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200 vom 13. April 2021</w:t>
      </w:r>
    </w:p>
    <w:p>
      <w:r>
        <w:t>VD Tribunal cantonal, 2021-04-13, FR</w:t>
      </w:r>
    </w:p>
    <w:p>
      <w:r>
        <w:rPr>
          <w:b/>
        </w:rPr>
        <w:t xml:space="preserve">Quelle: </w:t>
      </w:r>
      <w:r>
        <w:t>https://mcp.opencaselaw.ch/entscheid/vd_findinfo_Jug___2021___200</w:t>
      </w:r>
    </w:p>
    <w:p>
      <w:r>
        <w:t>FR: VD_FINDINFO Jug / 2021 / 200 du 13 avril 2021</w:t>
      </w:r>
    </w:p>
    <w:p>
      <w:r>
        <w:t>IT: VD_FINDINFO Jug / 2021 / 200 del 13 aprile 2021</w:t>
      </w:r>
    </w:p>
    <w:p>
      <w:pPr>
        <w:pStyle w:val="Heading2"/>
      </w:pPr>
      <w:r>
        <w:t>Regeste</w:t>
      </w:r>
    </w:p>
    <w:p>
      <w:r>
        <w:t>DÉTENTION POUR DES MOTIFS DE SÛRETÉ, RISQUE DE RÉCIDIVE, PROPORTIONNALITÉ, MESURE DE SUBSTITUTION À LA DÉTENTION | 212 al. 3 CPP (CH), 221 al. 1 let. c CPP (CH), 233 CPP (CH), 237 CPP (CH)</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 e éd., Bâle 2016, n. 4 ad art. 233 CPP).</w:t>
      </w:r>
    </w:p>
    <w:p>
      <w:r>
        <w:rPr>
          <w:b/>
        </w:rPr>
        <w:t>E. 1.2</w:t>
      </w:r>
    </w:p>
    <w:p>
      <w:r>
        <w:t>En l’espèce, Z.________ a sollicité sa libération devant la Cour de céans indépendamment des conclusions prises dans sa déclaration d’appel, sollicitant une décision immédiate. Sa demande est recevable.</w:t>
      </w:r>
    </w:p>
    <w:p>
      <w:r>
        <w:rPr>
          <w:b/>
        </w:rPr>
        <w:t>E. 2.1</w:t>
      </w:r>
    </w:p>
    <w:p>
      <w:r>
        <w:t>Le requérant expose qu’il a déjà purgé l’entier de la peine prononcée à son encontre et fait valoir qu’il conteste la mesure thérapeutique institutionnelle ordonnée, de sorte que la poursuite de sa détention pour des motifs de sûreté serait disproportionnée. Par ailleurs, son état de santé étant stabilisé, il indique qu’il sera prochainement transféré de la section psychiatrique dans laquelle il est actuellement détenu vers une section « normale » et que sa détention, faute d’être exécutée dans un établissement approprié, serait de ce fait illicite.</w:t>
      </w:r>
    </w:p>
    <w:p>
      <w:r>
        <w:rPr>
          <w:b/>
        </w:rPr>
        <w:t>E. 2.2.1</w:t>
      </w:r>
    </w:p>
    <w:p>
      <w:r>
        <w:t>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Lorsque le détenu a déjà été jugé en première instance, ce prononcé constitue un indice important quant à la peine susceptible de devoir être finalement exécutée (ATF 143 IV 168 consid. 5.1). Selon la jurisprudence du Tribunal fédéral, lorsque le prévenu est exposé à une condamnation à un trai­te­ment institutionnel, la prolongation de la détention provisoire ou de la détention pour des motifs de sûreté respecte le principe de la proportion­nalité lorsqu’il faut sérieusement compter avec une mesure entraînant une privation de liberté dont l’exécution complète pourrait durer sensiblement plus longtemps que la détention avant jugement subie jusqu’alors (ATF 126 I 172 consid. 5e ; TF 1B_178/2016 du 7 juin 2016 consid. 4.2 ; TF 1B_291/2014 du 8 septembre 2014 consid. 3.2 ; CAPE 3 mai 2019/191 consid. 2.2.1).</w:t>
      </w:r>
    </w:p>
    <w:p>
      <w:r>
        <w:rPr>
          <w:b/>
        </w:rPr>
        <w:t>E. 2.2.2</w:t>
      </w:r>
    </w:p>
    <w:p>
      <w:r>
        <w:t>Lorsque l'auteur souffre d'un grave trouble mental, le juge peut ordonner un traitement institutionnel s’il a commis un crime ou un délit en relation avec ce trouble et s’il est à prévoir que cette mesure le détournera de nouvelles infractions en relation avec ce trouble (art. 59 al. 1 let. a et b CP).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 il peut aussi être effectué dans un établissement pénitentiaire au sens de l'art. 76 al. 2 CP, dans la mesure où le traitement thérapeutique nécessaire est assuré par du personnel qualifié (art. 59 al. 3 CP). La privation de liberté entraînée par le traitement institutionnel ne peut en règle générale excéder cinq ans ;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 (TF 1B_274/2018 du 25 juin 2018 consid. 3.1).</w:t>
      </w:r>
    </w:p>
    <w:p>
      <w:r>
        <w:rPr>
          <w:b/>
        </w:rPr>
        <w:t>E. 2.3</w:t>
      </w:r>
    </w:p>
    <w:p>
      <w:r>
        <w:t>En l’espèce, même si cela ne ressort pas explicitement des considérants du jugement entrepris, le maintien en détention du requérant n’a pas été ordonné seulement pour garantir l’exécution de la peine privative de liberté, mais aussi et surtout pour assurer l’exécution de la mesure prononcée à son encontre. Ainsi, s’il peut être donné acte au requérant qu’il a à ce jour déjà purgé l’entier de sa peine, son maintien en détention ne saurait être considéré comme disproportionné, dès lors qu’il demeure justifié pour garantir l’exécution du traitement institutionnel ordonné par le Tribunal correctionnel. A cet égard, les premiers juges ont ordonné un traitement institutionnel au sens de l’art. 59 CP en faveur de Z.________, dont la durée maximale – prolongeable au demeurant – est de cinq ans. Bien que ce prononcé ne soit pas définitif et exécutoire, il constitue un indice important quant à la mesure susceptible de devoir être finalement exécutée (ATF 143 IV 168 précité ; ATF 139 IV 270 consid. 3.1 et les arrêts cités). A cet égard, compte tenu des conclusions du rapport d’expertise psychiatrique (cf. consid. 3.3 infra ), qui pose les diagnostics de schizophrénie paranoïde et de troubles mentaux et du comportement liés à la consommation d’alcool, de cannabis et de cocaïne, et qui fait état du déni de ces troubles sévères par l’intéressé, il faut sérieusement compter avec une mesure entraînant une privation de liberté d’une certaine durée. Au surplus, on ne saurait inférer du fait que le Service de médecine et psychiatrie pénitentiaires (SMPP) aurait indiqué que l’état du requérant était suffisamment stabilisé pour permettre son transfert dans une section « normale » de l’établissement de détention que la mesure ordonnée ne serait plus nécessaire. Au demeurant, il n’appartient pas à la Cour de céans d’examiner ici le bien-fondé du traitement institutionnel prononcé par les premiers juges, cette question, dont on ne saurait préjuger l’issue, devant être tranchée dans le jugement au fond. Par ailleurs, c’est à tort que le requérant soutient que son maintien dans un établissement pénitentiaire serait illicite, dès lors que le traitement thérapeutique nécessaire peut être assuré à la prison de la Croisée par du personnel qualifié. Au vu de ce qui précède, le principe de la proportionnalité demeure donc à ce stade pleinement respecté pour garantir l’exécution de la mesure ordonnée.</w:t>
      </w:r>
    </w:p>
    <w:p>
      <w:r>
        <w:rPr>
          <w:b/>
        </w:rPr>
        <w:t>E. 3.1</w:t>
      </w:r>
    </w:p>
    <w:p>
      <w:r>
        <w:t>Le requérant fait valoir qu’il ne présenterait pas de risque de récidive tant qu’il prend sa médication, de sorte que rien ne ferait obstacle à sa libération. Subsidiairement, il soutient que des mesures de substitution à forme de l’obligation de poursuivre son suivi psychiatrique et de prendre la médication prescrite, ainsi que de se rendre au Foyer [...], seraient suffisantes pour pallier le risque retenu et devraient donc être ordonnées en lieu et place de la détention.</w:t>
      </w:r>
    </w:p>
    <w:p>
      <w:r>
        <w:rPr>
          <w:b/>
        </w:rPr>
        <w:t>E. 3.2.1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précité).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2.7 ; TF 1B_3/2019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1B_3/2019 précité).</w:t>
      </w:r>
    </w:p>
    <w:p>
      <w:r>
        <w:rPr>
          <w:b/>
        </w:rPr>
        <w:t>E. 3.2.2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 e éd., Bâle 2019, n. 2 ad art. 237 CPP).</w:t>
      </w:r>
    </w:p>
    <w:p>
      <w:r>
        <w:rPr>
          <w:b/>
        </w:rPr>
        <w:t>E. 3.3</w:t>
      </w:r>
    </w:p>
    <w:p>
      <w:r>
        <w:t>En l’espèce, quand bien même le requérant n’a pas d’antécédents et sa situation psychique se serait stabilisée, le risque de réitération est manifeste. Il ressort en effet du rapport d’expertise psychiatrique du 3 novembre 2020 (P. 52) que Z.________ souffre de schizophrénie paranoïde et de troubles mentaux et du comportement liés à la consommation d’alcool, avec dépendance, de cannabis et de cocaïne. Cette pathologie schizophrénique, présente depuis de nombreuses années, entraîne des difficultés dans tous les pans de l’existence de l’intéressé, lequel présente un déni de ses troubles, avec intuitions délirantes et possibilités d’hallucinations acoustico-verbales, auxquels s’ajoute une importante consommation quotidienne d’alcool. Sa pathologie est donc qualifiée de sévère et le risque de nouveaux comportements violents hétéro-agressifs décrit comme élevé. Il résulte de ces éléments que le risque de réitération présenté par le requérant est suffisamment important et concret pour justifier son maintien en détention pour des motifs de sûreté pour garantir l’exécution de la mesure ordonnée, la sécurité publique devant en l’espèce l’emporter sur la liberté personnelle du requérant, ce d’autant plus au vu du bien juridique menacé, soit notamment l’intégrité corporelle d’autrui. Quant aux mesures de substitution proposées par le requérant, force est de constater qu’elles ne sont pas suffisantes en l’état pour contenir le risque de récidive retenu. En effet, comme l’a relevé le Tribunal correctionnel, celui-ci s’est déjà enfui de l’Hôpital de Prangins où il avait été placé à des fins d’assistance. Quand bien même il soutient qu’il n’avait pas l’intention de se soustraire au traitement ordonné, il y a lieu de relever qu’il a toujours été compliqué d’obtenir son adhésion à un quelconque suivi, plusieurs hospitalisations ayant déjà été tentées en vain. Les experts ont du reste préconisé une mesure thérapeutique institutionnelle compte tenu de sa propension soudaine à la violence dans des contextes peu prévisibles et en raison de ses problèmes d’adhésion au suivi rendant peu probable le succès d’un traitement ambulatoire à ce stade. Pour limiter le risque de récidive, ils ont suggéré un suivi intégré avec une prise en charge qui pourrait agir sur les facteurs de risque de passage à l’acte violent, mettant l’accent sur le risque élevé de non-adhésion aux soins, sa pathologie l’empêchant en outre de bien reconnaître sa maladie. Compte tenu de ce qui précède, une mesure ambulatoire telle que proposée par le requérant ne serait pas à même, à ce stade, d’assurer un traitement et, partant, de pallier le risque de réitération retenu.</w:t>
      </w:r>
    </w:p>
    <w:p>
      <w:r>
        <w:rPr>
          <w:b/>
        </w:rPr>
        <w:t>E. 4</w:t>
      </w:r>
    </w:p>
    <w:p>
      <w:r>
        <w:t>En définitive, le maintien de Z.________ en détention pour des motifs de sûreté se justifie et sa requête tendant à sa mise en liberté, manifestement mal fondée, doit être rejetée sans échange d’écritures (art. 390 al. 2 CPP). Vu l’issue de la cause, les frais du présent prononcé, par 810 fr. (art. 21 al. 1 TFIP [Tarif des frais de procédure et indemnités en matière pénale du 28 septembre 2010 ; BLV 312.03.1]), seront mis à la charge de Z.________,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