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179 vom 4. September 2020</w:t>
      </w:r>
    </w:p>
    <w:p>
      <w:r>
        <w:t>VD Tribunal cantonal, 2020-09-04, FR</w:t>
      </w:r>
    </w:p>
    <w:p>
      <w:r>
        <w:rPr>
          <w:b/>
        </w:rPr>
        <w:t xml:space="preserve">Quelle: </w:t>
      </w:r>
      <w:r>
        <w:t>https://mcp.opencaselaw.ch/entscheid/vd_findinfo_Jug___2021___179</w:t>
      </w:r>
    </w:p>
    <w:p>
      <w:r>
        <w:t>FR: VD_FINDINFO Jug / 2021 / 179 du 4 septembre 2020</w:t>
      </w:r>
    </w:p>
    <w:p>
      <w:r>
        <w:t>IT: VD_FINDINFO Jug / 2021 / 179 del 4 settembre 2020</w:t>
      </w:r>
    </w:p>
    <w:p>
      <w:pPr>
        <w:pStyle w:val="Heading2"/>
      </w:pPr>
      <w:r>
        <w:t>Regeste</w:t>
      </w:r>
    </w:p>
    <w:p>
      <w:r>
        <w:t>BRIGANDAGE, AGGRAVATION DE LA PEINE, COAUTEUR{DROIT PÉNAL}, ARME{OBJET}, CONSTATATION DES FAITS, APPRÉCIATION DES PREUVES, FIXATION DE LA PEINE, SURSIS À L'EXÉCUTION DE LA PEINE, EXPULSION{DROIT PÉNAL}, DÉFENSE D'OFFICE, INDEMNITÉ{EN GÉNÉRAL}, CONFISCATION{DROIT PÉNAL}, DÉDUCTION{SENS GÉNÉRAL} | 140 ch. 2 CP, 140 ch. 3 CP, 42 al. 1 CP, 42 al. 2 CP, 43 al. 1 CP, 44 al. 1 CP, 47 CP, 49 al. 1 CP, 51 CP, 66a al. 1 let. c CP, 66a al. 2 CP, 69 CP, 10 al. 1 CPP (CH), 135 CPP (CH), 139 CPP (CH)</w:t>
      </w:r>
    </w:p>
    <w:p>
      <w:pPr>
        <w:pStyle w:val="Heading2"/>
      </w:pPr>
      <w:r>
        <w:t>Erwägungen</w:t>
      </w:r>
    </w:p>
    <w:p>
      <w:r>
        <w:rPr>
          <w:b/>
        </w:rPr>
        <w:t>E. 8</w:t>
      </w:r>
    </w:p>
    <w:p>
      <w:r>
        <w:t>de l’acte d’accusation. S.________ conteste pour sa part que le couteau puisse être considéré comme une arme dangereuse. 5.1 En vertu de l'art. 140 ch. 2 CP, le brigandage sera puni d'une peine privative de liberté d'un an au moins, si son auteur s'est muni d'une arme à feu ou d'une autre arme dangereuse. L'infraction est qualifiée non seulement lorsque l'auteur utilise son arme, mais lorsqu'il l'a à disposition, puisqu'il compte en faire usage, ne serait-ce que pour menacer autrui ou pour couvrir sa fuite (ATF 110 IV 80 consid. 1b). Pour déterminer si une arme est dangereuse et partant assimilable à une arme à feu, il faut se fonder sur ses caractéristiques objectives. Ainsi, l'arme doit être propre à causer des lésions graves, ce qui est le cas des grenades à main, des bombes, des pétards à gaz, des sprays (à tout le moins chargés de gaz CN) et des coups-de-poing américains; Tout objet qui peut présenter pour autrui un danger équivalant à celui que fait courir un coup-de-poing américain doit donc être qualifié d’arme dangereuse, sans qu’il soit nécessaire qu’elle soit de nature à causer des lésions aussi graves qu’une arme à feu (ATF 113 IV 61, JdT 1988 IV 38). Un couteau de poche ne saurait, dans la règle, être considéré comme une arme; une arme est un objet qui, d’après sa destination, peut être utilisé pour attaquer ou se défendre; tel n’est pas le cas d’un couteau de poche resté fermé; il s’agit plutôt d’un objet destiné à servir d’outil (ATF 117 IV 135); il en va de même d'un marteau (ATF 112 IV 13). 5.2 En l’espèce les premiers juges ont considéré que la circonstance aggravante de l'art. 140 ch. 3 CP n'était pas réalisée et qu'il s'agissait d'un brigandage simple au sens de l'art. 140 ch. 1 CP. Ils ont relevé que le trio était allé s'équiper pour se munir de cagoules et d'armes, qu'il avait démontré une certaine détermination et préméditation, mais que les faits ne dénotaient pas un caractère particulièrement dangereux et qu'à titre d'exemple le couteau n'avait pas été appliqué contre le cou de la victime. Ce faisant, le Tribunal correctionnel s'est écarté de la qualification juridique contenue dans l'acte d'accusation, celui-ci ne citant que l’art. 140 ch. 2 CP et non pas l'art. 140 ch. 3 CP. 5.3 II résulte des déclarations d'R.________ que les trois prévenus s'étaient munis d'un couteau, d'un spray d'autodéfense et d'un pistolet Airsoft (PV aud. 4), ce qui a été admis par S.________ lors des débats de première instance, ce dernier ayant néanmoins précisé qu'aucun de ces objets n'était à lui (jugt. p. 10), ce qui importe peu. On ignore ce que contenait le spray utilisé, qui pouvait en soi déjà constituer une arme dangereuse. Selon les faits retenus, R.________ qui avait aussi le visage dissimulé par une cagoule, s'est installé à côté de L.________ et a posé le couteau avec la lame ouverte contre la cuisse de ce dernier (PV aud. 4, p. 4). S.________ a d’ailleurs reconnu aux débats également qu’R.________ avait posé la lame du couteau près de L.________ (jugt. p. 10). Cela étant, d’une part, le couteau n’était pas plié lors de son usage et, d’autre part, il résulte de la photographie au dossier de ce couteau qu’il s’agissait bien – malgré sa taille, dont tente de se prévaloir le prévenu – d’une arme destinée à attaquer ou se défendre de par sa destination et non d’un simple outil (lame large et acérée, pouvant s’ouvrir d’une main), arme qui pouvait à l’évidence présenter pour autrui un danger équivalant voire largement supérieur à celui que fait courir un coup-de-poing américain. Le couteau utilisé lors de ce brigandage doit donc être qualifié d’arme dangereuse et le simple fait pour R.________ de s’en être muni durant le brigandage réalisait l’infraction de l’art. 140 ch. 2 CP, dont S.________ est coauteur. Compte tenu de ce qui précède, S.________ doit être condamné pour brigandage aggravé au sens de l'art. 140 ch. 2 CP. IV. Peines 6. Le Ministère public requiert une augmentation de l’ensemble des peines prononcées, compte tenu de la qualification juridique des infractions devant être retenue au terme de son appel et, quoi qu’il en soit, de la culpabilité « écrasante » des prévenus. H.________ devrait ainsi être condamné à une peine privative de liberté de 48 mois, M.________ à une peine privative de liberté de 36 mois, dont la moitié ferme et la moitié avec sursis pendant 5 ans, Z.________ à une peine privative de liberté ferme de 36 mois et S.________ à une peine privative de liberté de 5 ans et demi, sous déduction de la détention subie avant jugement. S.________ conclut au prononcé d’une peine privative de liberté n’excédant pas trois ans, sous déduction de la détention avant jugement, avec sursis partiel, la partie ferme correspondant à la détention subie au jour des débats de première instance, ainsi que d’une amende de 800 fr. convertible en 8 jours de peine privative de liberté de substitution. M.________ conclut à la réforme du chiffre X du dispositif du jugement en ce sens que la durée de la détention avant jugement, ainsi que la durée des mesures de substitution soit déduite à raison de 285 jours de la peine privative de liberté de 2 ans qui lui a été infligée, cette peine étant en outre assortie du sursis. Z.________ conclut au prononcé, à titre principal, d'une amende pour l'infraction à la LStup et, à titre subsidiaire, d'une peine privative de liberté de 105 jours avec sursis pendant 2 ans ainsi qu'à une amende de 300 francs. 6.1 6.1.1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6.1.2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 6.1.3 L'art. 42 al. 1 CP dispose que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Le juge dispose d'un large pouvoir d'appréciation en la matière (ATF 135 IV 180 consid. 2.1; ATF 134 IV 1 consid. 5.2; TF 66_392/2016 du 10 novembre 2016). Les conditions subjectives auxquelles l'art. 42 CP soumet l'octroi du sursis intégral s'appliquent également à l'octroi du sursis partiel prévu à l'art. 43 CP (ATF 139 IV 270 consid. 3.3; ATF 134 IV 1 consid. 5.3.1). Lorsque la durée de la peine privative de liberté se situe entre un et deux ans, permettant donc le choix entre le sursis complet (art. 42 CP) et le sursis partiel (art. 43 CP), l'octroi du sursis complet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6.1.4 Aux termes de l'art. 51, 1 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(ATF 133 IV 150 consid. 5.1).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6.2 H.________ 6.2.1 Le Ministère public soutient en substance que le tribunal correctionnel n’a pas suffisamment tenu compte de la gravité des faits reprochés à ce prévenu qui, par appât du gain, aurait fait preuve d’une absence particulière de scrupules, notamment en serrant la victime au cou à plusieurs reprises avec sa ceinture. Il aurait en outre eu un rôle de meneur durant le brigandage. Le Ministère public invoque encore une prise de conscience tardive, un mauvais comportement en détention et le fait que l’absence d’antécédents constitue un élément neutre. 6.2.2 H.________ doit être condamné pour brigandage qualifié au sens de l'art. 140 ch. 3 CP, qui prévoit une peine privative de liberté de deux ans au moins. Sa culpabilité est très importante. Il a agi par pur appât du gain alors qu'il avait un travail et une famille. Il s'en est pris à une victime qu'il ne connaissait pas et l'a violentée et traumatisée. Il a cherché à obtenir le plus d'argent possible. Ainsi, alors que la somme de 2'500 fr. avait déjà été trouvée et l’appartement de la victime fouillé, il est revenu dans la forêt et a serré le cou d'P.________, à trois reprises, avec une ceinture, comportement qui dénote une grande dangerosité et une absence de scrupules particulière. Il a été le plus violent des prévenus et avait un rôle de meneur, dès lors qu’il était le plus âgé, conduisait la voiture, s’est déplacé pour aller fouiller l'appartement et a étranglé la victime. Son comportement en détention a été mauvais, étant précisé qu'il a fait l'objet de plusieurs sanctions disciplinaires. A décharge, on peut retenir sa participation à l’enquête, puisqu’il a fini par admettre les faits, même s’il les minimise encore largement, s’agissant des actes de violence physique. Quant à l’absence d’antécédents, il s’agit d’un élément neutre dans le cadre de la fixation de la peine. Au vu des éléments qui précèdent, il convient de sanctionner H.________ d'une peine privative de liberté de 30 mois pour le brigandage aggravé, de 3 mois pour la violation de domicile et de 3 mois pour la conduite d'un véhicule malgré une incapacité de conduire, soit une peine privative de liberté de 36 mois au total, plus une amende de 300 fr. pour la contravention à la loi fédérale sur les stupéfiants. Il conviendra en outre de déduire de la peine privative de liberté précités 372 jours de détention avant jugement et 77 jours à titre de réparation du tort moral pour la détention dans des conditions illicites, comme l’avait fait le tribunal correctionnel pour la peine initialement prononcée. 6.2.3 On peut suivre les premiers juges et accorder à H.________ le sursis partiel, compte tenu de l’absence d’antécédents, de la situation personnelle de l’intéressé et du début de prise de conscience exprimé aux débats. Le parquet a du reste conclu à une peine ferme sans motiver son appel sur ce point. La partie ferme de la peine restera fixée à 15 mois, dans la mesure où cette peine a déjà été subie et qu’on ne voit pas quel intérêt une réincarcération aurait sur l’amendement du prévenu, qui doit de toute manière être expulsé. La partie de la peine avec sursis partiel sera dès lors de 21 mois, le délai d’épreuve de 5 ans demeurant justifié pour des raisons évidentes de prévention, compte tenu de la gravité des faits. 6.3 S.________ 6.3.1 Le Ministère public soutient que les premiers juges ont accordé trop d’importance au jeune âge d’S.________, sans tenir suffisamment compte de la gravité des faits lui étant reprochés. Il invoque également une mauvaise collaboration durant l’enquête, une prise de conscience tardive et un comportement catastrophique en détention. S.________, quant à lui, soutient qu'à décharge, devraient être retenus son jeune âge, sa prise de conscience réelle et sa bonne collaboration, même si tardive, ainsi que son manque d'intelligence. Il estime que les premiers juges auraient dû lui infliger une peine privative de liberté n'excédant pas trois ans, assortie du sursis partiel, dans la mesure où l'effet de prévention spéciale découlant de la partie non exécutée de la peine serait plus important par rapport à une exécution de peine complète. 6.3.2 S.________ doit être condamné notamment pour deux brigandages en application de l'art. 140 ch. 3 et ch. 2 CP. Il a agi par appât du gain et s'en est pris dans les deux cas à des victimes qu'il ne connaissait pas, en l'espace d’un mois, ce qui démontre une absence de scrupules et une dangerosité importante, au moment des faits à tout le moins. Il a en outre menti durant toute l'enquête malgré les éléments à charge, n'admettant son implication que lors de l'audience de première instance. Sa culpabilité est importante, mais il faut aussi tenir compte du fait que c’est lui qui a mis un terme aux accès de violence de H.________ lors du brigandage. Cela étant, malgré la gravité des faits, on peut considérer que ce prévenu n’est pas ancré dans la délinquance. D’abord, il y a lieu de constater que celui-ci était encore très jeune lorsqu’il a commis les infractions qui lui sont reprochées. Ensuite, il n’a pas d’antécédents et les faits sont très rapprochés dans le temps, de sorte que l’on peut croire, comme cela a été plaidé, qu’il peut s’agir d’une erreur de parcours. D’ailleurs, S.________ s’est exprimé longuement durant l’audience d’appel, tant sur les faits, qu’il a entièrement reconnus, que sur les raisons pour lesquelles il s’était muré dans le silence dans un premier temps. L’intéressé a en outre expliqué qu’il avait pris conscience de la gravité de ses actes et qu’il avait entrepris en détention un important travail introspectif sur son comportement et son avenir. Ses explications ont paru sincères, et sont confirmées par le rapport déposé le 10 février 2021 par la Direction de l’Etablissement des Léchaires. Ce rapport expose que le début de la détention d’S.________ a été pour le moins chaotique, dès lors que son comportement était mauvais et qu’il a fait l’objet de nombreuses sanctions disciplinaires; toutefois l’intéressé a accompli un important travail d’adaptation et a évolué très favorablement sur tous les plans, que ce soit dans ses relations avec les intervenants, dans le travail et dans la prise de conscience de la gravité de ses actes et du caractère inacceptable de ses comportements passés. Il y a ainsi lieu de tenir compte à décharge du jeune âge de ce prévenu, de sa bonne collaboration, même tardive, et de son amendement important. Il apparaît dans ces conditions, qu’une peine aussi importante que celle requise par le Ministère public serait contreproductive et aurait un effet néfaste sur l’avenir d’S.________. L'appelant doit ainsi être condamné à une peine privative de liberté de 24 mois pour le brigandage objet du cas 7 de l’acte d’accusation, de 12 mois pour celui faisant l’objet du cas 8, de 3 mois pour les infractions à la loi sur la circulation routière, qui sont graves et nombreuses, de 2 mois pour la violation de domicile et encore de 1 mois pour le trafic de stupéfiants, soit 42 mois au total. La peine prononcée par les premiers juges reste ainsi adéquate et doit être confirmée, malgré la qualification juridique différente des faits retenus. S.________ ne peut bénéficier d'un sursis compte tenu de la quotité de la peine. 6.4 M.________ 6.4.1 Le Ministère public reproche au tribunal correctionnel d’avoir pris en considération de manière trop importante le jeune âge de ce prévenu, au mépris de la gravité des faits, de son comportement durant l’enquête et de ses antécédents. Il expose que ce prévenu minimise les faits, n’a pas pris conscience de la gravité de ses actes, a adopté un comportement violent à l’encontre d’un gardien en détention, n’a informé personne qu’une des conditions de sa libération au bénéfice de mesures de substitution n’était plus réalisée et qu’il a été condamné pour vol par le Tribunal des mineurs en 2017. 6.4.2 M.________ doit être condamné pour brigandage qualifié au sens de l'art. 140 ch. 3 CP, qui prévoit une peine privative de liberté de deux ans au moins. Sa culpabilité est importante. Il a agi par pur appât du gain. Il s'en est pris à une victime qu'il ne connaissait pas, l'a violentée et traumatisée. Il persiste à minimiser les faits ainsi que son rôle, expliquant par exemple être resté dans la voiture parce qu’il avait froid. Outre que cette explication est peu crédible, il n’en demeure pas moins qu’il a pris une part active au brigandage en ligotant la victime et en la fouillant, et s’est à tout le moins associé aux violences faites à celle-ci par ses comparses. A décharge, il faut tenir compte de son jeune âge, de son état de santé et du fait qu'il a été décrit comme influençable. M.________ doit ainsi être condamné à une peine privative de liberté de 26 mois pour le brigandage (cette différence par rapport au prévenu S.________ s’expliquant notamment par une prise de conscience balbutiante), de 1 mois pour la violation de domicile, de 3 mois pour les violences ou menaces contre les autorités et les fonctionnaires et de 5 mois pour les infractions à la loi fédérale sur les stupéfiants, s’agissant d’un trafic de plusieurs centaines de grammes de cannabis et de haschisch durant une année au moins, soit une peine privative de liberté de 35 mois au total. Compte tenu de la quotité de la peine, M.________ ne peut bénéficier du sursis complet. La situation personnelle et professionnelle de ce prévenu ne permet pas de poser un pronostic à ce point défavorable qu’il s’opposerait à un sursis partiel, qui sera donc accordé, même si l’avenir professionnel de M.________ paraît incertain. La part ferme, de 200 jours, restera telle qu’arrêtée en première instance et qui correspond à la détention provisoire subie, aucun motif ne permettant de penser qu’une réincarcération permettrait de contribuer à l’amendement du prévenu. Le solde de peine, par 28 mois et</w:t>
      </w:r>
    </w:p>
    <w:p>
      <w:r>
        <w:rPr>
          <w:b/>
        </w:rPr>
        <w:t>E. 8.1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ATF 130 IV 143 consid. 3.3.1). De plus, la confiscation d'objets dangereux, en tant qu'elle atteint à la propriété garantie par l'art. 26 Cst., exige le respect du principe de la proportionnalité dans ses deux composantes de l'adéquation au but et de la subsidiarité. Ces principes s'appliquent, en particulier, aussi aux supports de données numériques (TF 6B_35/2017 du 26 février 2018 consid. 9.1).</w:t>
      </w:r>
    </w:p>
    <w:p>
      <w:r>
        <w:rPr>
          <w:b/>
        </w:rPr>
        <w:t>E. 8.2</w:t>
      </w:r>
    </w:p>
    <w:p>
      <w:r>
        <w:t>En l’espèce, il résulte clairement à la lecture du rapport de police (cf. P. 83, p. 28) que le téléphone en question a servi à la commission d'infractions à la LStup. En effet, de nombreux messages tirés de l'extraction du téléphone du prévenu M.________ concernent la vente de produits stupéfiants. Partant, il n'y a pas lieu de restituer cet objet à l'intéressé, le risque qu’il s’en serve à nouveau de cette manière ne pouvant être écarté. VII. Indemnité d’office 9. 9.1 Le défenseur d’office de M.________, Me Gisèle de Benoit, a interjeté recours contre l’indemnité qui lui a été allouée en première instance, arrêtée à 15'470 francs. Se référant à la liste d’opérations déposée, elle a conclu en audience à ce qu’une indemnité de 19'386 fr. vacations, TVA et débours inclus, lui soit allouée pour la procédure de première instance. 9.1.1 Le défenseur d'office, respectivement conseil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6B_74512009 du 12 novembre 2009 consid. 10.1). Dans le canton de Vaud, l'indemnité horaire de l'avocat d'office breveté est fixée à 180 fr., TVA en sus, et celle de l'avocat-stagiaire à 110 fr. (art. 2 al. 1 let. a et b RAJ [règlement sur l'assistance judiciaire en matière civile du 7 décembre 2010; BLV 211.02.3], applicable par renvoi de l'art. 26b TFIP [tarif des frais de procédure et indemnités en matière pénale du 28 septembre 2010; BLV 312.03.1]).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la 107 consid. 3b). 9.2 Les premiers juges ont relevé que l'indemnité de Me de Benoit faisait état d'une activité excessive, comprise entre 80 et 85 heures, un total de 60 heures paraissant suffisant et adéquat. Ils ont notamment estimé qu’il convenait de réduire le temps consacré à un trop grand nombre de lettres au client et d’opérations intitulées « suivi du dossier ». En l’occurrence, la liste d’opérations déposée par Me Gisèle de Benoit fait état de 73h45 heures d’activité pour les opérations effectuées jusqu’au 31 août 2020, activité à laquelle il y a lieu d’ajouter 8h45 pour le temps consacré à l’audience de jugement et aux opérations post-jugement, soit 82,5 heures au total. Ce temps d’activité est quelque peu excessif et doit être réduit, mais dans une mesure moins importante que celle retenue par les premiers juges. Il y a en effet trop d’opérations intitulées suivi ou étude du dossier compte tenu de la complexité relative de la cause, de sorte que ce poste sera réduit de 3,5 heures, pour l’essentiel s’agissant des opérations comptabilisées en août 2020, qui en totalisent déjà 5. On réduira encore de 8 heures les opérations consacrées aux lettres au client et aux conférences avec ce dernier, dans la mesure où leur nombre est effectivement largement au-dessus de la moyenne, sans qu’on n’en perçoive l’utilité. C’est ainsi un total de 11 heures 30 qui doit être déduit, l’indemnité de Me de Benoit devant ainsi être fixée à 17'554 fr., comprenant 71 heures d’activité au tarif horaire de 180 fr., 5% de débours forfaitaires, par 639 fr., 2'880 fr. de vacations et 1'255 fr. de TVA sur le tout, au taux de 7,7%. VIII. Frais et indemnités 10. Au vu de ce qui précède, l’appel du Ministère public doit être partiellement admis, l’appel de M.________ très partiellement admis, les appels d’S.________ et Z.________ rejetés et le recours de Me Gisèle de Benoit partiellement admis, le jugement étant réformé dans le sens des considérants qui précèdent.</w:t>
      </w:r>
    </w:p>
    <w:p>
      <w:r>
        <w:rPr>
          <w:b/>
        </w:rPr>
        <w:t>E. 10</w:t>
      </w:r>
    </w:p>
    <w:p>
      <w:r>
        <w:t>jours, sera assorti du sursis avec délai d’épreuve de 3 ans. 6.4.3 M.________ requiert encore une réduction de peine de 85 jours pour les 170 jours durant lesquels il a été assigné à résidence. Les premiers juges ont relevé que les mesures de substitution, d'ailleurs partiellement non respectées, n'avaient pas entravé la liberté de l'intéressé plus que cela, d'autant que l’assignation à domicile de M.________ avait eu lieu durant le semi-confinement lié à la pandémie du Covid-19. En l’occurrence, par ordonnance du 2 mars 2020, le Tribunal des mesures de contrainte a notamment prolongé la détention provisoire de M.________ jusqu’au 16 mars 2020, et ordonné des mesures de substitution pour une durée de deux mois – la libération devant intervenir la veille du jour où il pourra entrer en fonction auprès de l’entreprise [...] –, dont l’obligation pour celui-ci de demeurer à son domicile tant en dehors des heures de travail que durant les weekends, jours fériés et vacances, l’intéressé n’étant autorisé à quitter son domicile que pour se rendre au travail, effectuer ses heures, puis rentrer. Cette mesure a été prolongée par ordonnance du 29 avril 2020, pour une durée de deux mois, le prévenu étant toutefois autorisé à aller faire ses courses alimentaires à raison de deux fois une heure par semaine, et à se rendre à des visites médicales. Elle a encore été prolongée par la suite. Entendu à ce sujet en première et en seconde instance, M.________ a expliqué qu’il avait toujours respecté cette mesure, que son apprentissage auprès de [...] ne correspondait pas à ses attentes, qu’il s’était fait licencier après deux mois ou trois mois et qu’il avait ensuite fait des recherches d’emploi. Les mesures de substitution prononcées et plus particulièrement l'assignation à résidence ont réduit la liberté de M.________, celui-ci n'ayant été autorisé à sortir que pour travailler, puis pour aller faire ses courses à raison de deux fois une heure par semaine et à se rendre à ses visites médicales. Ce prévenu a expliqué qu'il s'était conformé aux mesures de substitution prononcées et, plus particulièrement, que s'il n'avait pas annoncé la fin de son emploi, il s'était néanmoins conformé à l'assignation à résidence à son domicile, hormis pour se rendre à son travail, travailler, aller faire ses courses, aller chez son avocate et participer à des cours de Jobtreck pendant quelques jours dans l'espoir de décrocher un apprentissage. On peut douter que l’appelant ait scrupuleusement respecté les mesures de substitution prononcées à son encontre, puisque d'une part, il n'a pas annoncé la fin de son travail et que, d'autre part, il a entrepris d'autres activités en dehors de toute autorisation, comme par exemple les visites chez son avocate ou les cours de Jobtreck. On admettra cependant que les restrictions portées à sa liberté justifient de déduire de sa peine un cinquième – et non la moitié comme il le requiert – des 170 jours d’assignation à domicile, soit une réduction de peine de 34 jours, l’appel devant être admis dans cette mesure. 6.5 Z.________ 6.5.1 Le Ministère public soutient que la peine prononcée par les premiers juges ne tient pas compte de la gravité des faits, l’intéressé ayant agi par pur appât du gain en livrant une victime à ses comparses en connaissant parfaitement leurs intentions. Il invoque encore une mauvaise collaboration et les antécédents de ce prévenu. Quant à Z.________, il soutient qu’il devrait uniquement être condamné à une amende pour la contravention à la loi fédérale sur les stupéfiants, subsidiairement à une peine maximale de 3 mois pour vol et 15 jours pour violation de domicile. Il demande en outre que la peine fixée soit assortie du sursis, en se prévalant d’une évolution favorable. Il aurait changé ses fréquentations et serait désormais correctement inséré, puisqu’il a trouvé une place d’apprentissage, a un logement, est au bénéfice d’une curatelle et bénéficie d’un suivi psychothérapeutique dans le cadre d’un traitement ambulatoire contre la toxicomanie. 6.5.2 Z.________ doit être condamné pour brigandage au sens de l'art. 140 ch. 1 CP. Sa culpabilité est importante, dès lors que c’est par son intermédiaire que ses coprévenus ont été mis en relation avec la victime. En effet, il connaissait P.________ et a expliqué à ses comparses qu'il avait de l'argent, ce qui a conduit à la commission du brigandage, et c’est encore lui qui a mené H.________ au domicile de la victime, pour le fouiller avec lui. Il a agi par appât du gain et a livré sans scrupule une victime à ses amis. Sa collaboration durant l’enquête a été très mauvaise. Il persiste à minimiser sa participation, niant notamment toujours s'être introduit dans l'appartement de la victime. Il a déjà été condamné à trois reprises, notamment pour des vols. Il a déjà exécuté une peine privative de liberté de 11 mois, sans que cela ne change son comportement, puisqu'il persiste à commettre des infractions. On ne voit guère d’élément à décharge. Z.________ doit être sanctionné d'une peine privative de liberté de 24 mois pour le brigandage et de 3 mois pour la violation de domicile, cette peine de 27 mois étant complémentaire à celle prononcée par le Ministère public le 26 avril 2020. L'amende de 300 fr. sanctionnant la contravention à la LStup n’est pas contestée et doit être confirmée. 6.5.3 Dans la mesure où Z.________ a fait l’objet d’une précédente condamnation de plus de 6 mois dans les 5 ans précédant les faits, il faudrait que le pronostic soit particulièrement favorable pour que ce prévenu puisse bénéficier d'un sursis (art. 42 al. 2 CP in fine ). Or, tel n’est pas le cas en l’espèce. Z.________ n'a pas pris conscience de la gravité de ses actes, puisqu'il persiste à minimiser son implication dans le brigandage et à contester s'être introduit dans l'appartement de la victime malgré l’évidence. Il a déjà quatre inscriptions à son casier judiciaire qui concernent toutes des infractions contre le patrimoine, et a déjà été détenu durant</w:t>
      </w:r>
    </w:p>
    <w:p>
      <w:r>
        <w:rPr>
          <w:b/>
        </w:rPr>
        <w:t>E. 10.1</w:t>
      </w:r>
    </w:p>
    <w:p>
      <w:r>
        <w:t>Conformément à l’art. 51 CP, la détention subie par S.________ et H.________ depuis le jugement de première instance sera déduite de la peine privative de liberté prononcée. Le maintien en détention d’S.________ en exécution anticipée de peine est ordonné.</w:t>
      </w:r>
    </w:p>
    <w:p>
      <w:r>
        <w:rPr>
          <w:b/>
        </w:rPr>
        <w:t>E. 10.2</w:t>
      </w:r>
    </w:p>
    <w:p>
      <w:r>
        <w:t>Compte tenu de la liste d’opérations produite par Me Alexandre Curchod, défenseur d’office de H.________, dont il n'y a lieu de s'écarter que pour réduire le temps consacré à l’audience d’appel (qui a été surestimé), et à la demande de libération (déjà indemnisée), et sous réserve des débours forfaitaires qui seront alloués à concurrence de 2% et non de 5%, l’indemnité doit être arrêtée sur la base d’une activité d’avocat de 1,4 heures, au tarif horaire de 180 fr., et d’une activité d’avocat-stagiaire de 22,7 heures, au tarif horaire de 110 francs; en outre, il y a lieu de retenir une vacation, par 80 fr., plus les débours, par 55 fr., plus la TVA, par 222 fr. 05. L’indemnité totale s’élève ainsi à 3'106 fr. 05. Au vu de la liste d’opérations produite par Me Carvagna-Debluë, défenseur d’office d’Z.________, dont il n’y a pas lieu de s’écarter, si ce n’est pour ajouter le temps consacré à l’audience d’appel, c’est une indemnité de 5'235 fr. 55, correspondant à 12,66 heures au tarif horaire de 180 fr., à 38,25 heures au tarif horaire de 110 fr., à 2% de débours forfaitaires, par 93 fr. 75, à 80 fr. de vacation et à 374 fr. 30 de TVA, qui doit lui être allouée. Au vu de la liste d’opérations produite par Me de Benoit, défenseur d’office de M.________, dont il n’y a pas lieu de s’écarter, si ce n’est pour ajouter le temps consacré à l’audience d’appel, c’est une indemnité de 4'512 fr. 40, correspondant à 22,16 heures au tarif horaire de 180 fr., à 2% de débours forfaitaires, par 79 fr. 80, à 120 fr. de vacation et à 322 fr. 60 de TVA, qui doit lui être allouée. Vu l’issue de la cause, les frais communs d'appel, par 7’040 fr. (art. 21 al. 1 et 2 TFIP [Tarif des frais de procédure et indemnités en matière pénale du 28 septembre 2010; BLV 312.03.1]), seront mis par un quart à la charge de H.________, par un quart à la charge d’Z.________, soit par 1'760 fr. chacun, par un cinquième à la charge de M.________, soit par 1’408 fr., par un sixième à la charge d’S.________, soit par 1'173 fr. 35, le solde, par 938 fr. 65, étant laissé à la charge de l’Etat. H.________ et Z.________ supporteront en sus l’entier de l’indemnité allouée à leur défenseur d’office, tandis que M.________ supportera 4/5 èmes de l’indemnité allouée à son défenseur d’office, soit par 3'609 fr. 90, le solde, par 902 fr. 50, étant laissé à la charge de l’Etat. H.________ et Z.________ ne seront tenus de rembourser le montant de l'indemnité en faveur de leur défenseur d'office que lorsque leur situation financière le permettra. Il en ira de même de M.________, pour la part mise à sa charge.</w:t>
      </w:r>
    </w:p>
    <w:p>
      <w:r>
        <w:rPr>
          <w:b/>
        </w:rPr>
        <w:t>E. 11</w:t>
      </w:r>
    </w:p>
    <w:p>
      <w:r>
        <w:t>mois sans que cela ne le dissuade de commettre des infractions. Même s’il suit actuellement une formation, son avenir professionnel reste incertain et le fait qu'il ait requis l'instauration d'une curatelle, obtenu une bourse pour terminer sa formation et entrepris un suivi thérapeutique pour lutter contre sa toxicomanie – tout en déclarant ne pas vouloir arrêter de consommer du cannabis – ne suffit pas pour qu'on puisse considérer le pronostic comme particulièrement favorable. La peine prononcée doit donc être ferme. V. Expulsions 7. Le Ministère public requiert l'expulsion de H.________, tandis qu’Z.________ conteste la sienne. 7.1 7.1.1 Aux termes de l'art. 66a al. 1 let. c CP, le juge expulse de Suisse l'étranger qui est condamné notamment pour brigandage (art. 140 CP), quelle que soit la quotité de la peine prononcée à son encontre, pour une durée de cinq à quinze ans. 7.1.2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(TF 6B_965/2018 du 15 novembre 2018 consid. 4.2 et les références citées). 7.1.3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6B_724/2018 du 30 octobre 2018 consid. 2.3.2).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II 1 consid. 6.1; ATF 135 I 143 consid. 1.3.2). Tous les immigrés établis, indépendamment de la durée de leur résidence dans le pays dont ils sont censés être expulsés, n'ont pas nécessairement une « vie familiale »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 vie privée »" (TF 6B_612/2018 du 22 août 2018 consid. 2.2).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(ATF 134 II 10 consid. 4.3; TF 6B_695/2018 du</w:t>
      </w:r>
    </w:p>
    <w:p>
      <w:r>
        <w:rPr>
          <w:b/>
        </w:rPr>
        <w:t>E. 15</w:t>
      </w:r>
    </w:p>
    <w:p>
      <w:r>
        <w:t>novembre 2018 consid. 4.3). Il y a lieu de procéder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TF 6B_695/2018 du 15 novembre 2018 consid. 4.3). En recourant à la notion de cas de rigueur dans le cadre de l'art. 66a aI. 2 CP, le législateur a fait usage d'un concept ancré depuis longtemps dans le droit des étrangers (cf. art. 30 al. 1 let. b ou 50 al. 1 let. b de la loi fédérale sur les étrangers [LEI; RS 142.20], ainsi que l'art. 14 de la loi sur l'asile [LAsi;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aI.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(cf. TF 6B 371/2018 du 21 août 2018 consid. 2.4 et 2.5 et les références citées). 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(cf. TF 6B 1078/2018 du 7 novembre 2018 consid. 1.5; TF 6B_724/2018 du 30 octobre 2018 consid. 2.5; TF 6B_371/2018 du 21 août 2018 consid. 3.2). Pour un étranger arrivé en Suisse à l'âge adulte, les critères à prendre en compte sont notamment la nature et la gravité de l'infraction commise par l'étranger, la durée de son séjour dans le pays, le laps de temps écoulé entre la perpétration de l'infraction et la mesure litigieuse ainsi que la conduite de l'intéressé durant cette période et la solidité des liens sociaux, culturels et familiaux avec le pays hôte et le pays de destination (TF 6B_506/2017 du 14 février 2018 consid. 2.2). 7.2 H.________ 7.2.1 Les premiers juges ont retenu l'existence d'un cas de rigueur, aux motifs que le prévenu avait une épouse de nationalité suisse, un enfant en bas âge et qu'il avait toujours travaillé, sans émarger à l'assistance publique. Le Ministère public conteste cette appréciation, en exposant en substance que ce prévenu a peu d’attaches avec la Suisse, qu’il a en revanche de la famille en Italie et au Kosovo, qu’il n’est pas intégré dans notre pays et que c’est précisément sa situation financière précaire qui l’a conduit à commettre des infractions. Quant à la défense, elle a plaidé que le prévenu était intégré en reprenant les motifs exposés dans le jugement, se prévalant notamment de la situation familiale de l’intéressé. 7.2.2 H.________ est né au Kosovo le [...] 1993, y a effectué toute sa scolarité et y a obtenu un certificat de fin d'études. Sa famille est restée au Kosovo, mis à part ses parents, qui habitent en Italie. Il se rend une fois par année au Kosovo pour rendre visite à sa famille et va également régulièrement en Italie voir son père, à Turin. Le prévenu à un oncle et des cousins en Suisse, le reste de sa famille étant au Kosovo, pays dans lequel il a vécu jusqu'à l’âge de 22 ans et dont il parle la langue. Il résulte en substance de ses déclarations en cours d’instruction et à l’audience d’appel qu’il a travaillé illégalement en Suisse pour payer son loyer avant d’obtenir le permis B, qu’il n’a jamais eu d’emploi fixe avant les faits de la cause et qu’il n’a jamais conservé un emploi pour une durée supérieure à 2-3 mois. Il vivait ainsi de l’aide financière de sa famille lorsqu’il ne pouvait pas subvenir à ses besoins par le produit de son travail. A sa sortie de détention, il a travaillé en qualité de manœuvre pour une entreprise de maçonnerie de septembre à décembre 2020, puis a été licencié pour raisons économiques alors même qu’il donnait satisfaction. Il a pu retrouver un emploi dans une entreprise en qualité de plâtrier-peintre mais il a été rapidement accidenté. En l’occurrence, il est indéniable qu'une expulsion constituerait une certaine ingérence dans la vie privée de H.________, celui-ci étant marié et ayant un jeune enfant, son épouse et ce dernier ayant la nationalité suisse. Il ne peut toutefois pas se prévaloir de cette situation familiale – qui constitue pour ainsi dire sa seule attache en Suisse – pour s’opposer à son expulsion, dès lors que cette situation était déjà la même à l’époque des faits et que cela ne l’a pas empêché de consommer des drogues et de commettre un brigandage, en endossant un rôle de meneur. Ces faits sont graves et l’intérêt public à l’expulsion de ce prévenu est très important. Même si H.________ n'a pas d'antécédent, on doit relever qu'il était le plus âgés des prévenus et qu'il s'est montré particulièrement violent, notamment en procédant aux étranglements de sa victime. Il est arrivé en Suisse en 2015, soit il y a à peine quelques années et n’a pas pu s’intégrer, puisqu’il n’a jamais exercé un emploi durant plus de deux ou trois mois. Même s’il est la seule source de revenu de sa famille, celle-ci pourra le suivre en Italie ou au Kosovo, l’épouse n’ayant actuellement pas d’emploi. La situation de H.________ n’est ainsi pas plus compromise en cas de réintégration dans son pays d'origine que s’il devait demeurer en Suisse. Au regard de l'ensemble de ces éléments, on doit admettre que l'intérêt public justifie une expulsion, l’intérêt privé de H.________ à demeurer en Suisse étant moindre. 7.3 Z.________ 7.3.1 L’appelant soutient devoir être mis au bénéfice de la clause de rigueur, invoquant la présence de sa mère, d’un frère et de demi-frères et sœurs sur sol helvétique. Il dit vouloir prendre part à la vie économique en poursuivant sa formation, avoir changé ses fréquentations, avoir obtenu une bourse, être au bénéfice d’un suivi addictologique et d’une curatelle, ce qui témoignerait d’une bonne intégration. 7.3.2 Z.________ est né le [...] 1995 en Tunisie où il a effectué sa scolarité jusqu'à l'âge de 15 ans avant de venir en Suisse rejoindre sa mère. Il a bénéficié de diverses mesures de placement, a fait deux ans en préapprentissage à Neuchâtel et suit actuellement un apprentissage de plâtrier-peintre. Il a été hébergé au Foyer du Relais durant environ deux ans avant d’emménager dans un appartement. Ce prévenu, arrivé en Suisse à l’âge de 16 ans, a déjà quatre inscriptions à son casier judiciaire, toutes (notamment) pour des infractions contre le patrimoine, ce qui démontre, compte tenu des faits de la présente cause en sus, que l’intéressé n’a aucun respect pour l’ordre juridique suisse. Le fait de commencer un apprentissage à 25 ans ne constitue en aucun cas le signe d’une intégration particulière. A cela s’ajoute qu’Z.________ n’est pas non plus intégré socialement. Même s’il dit mettre toutes les chances de son côté pour réussir, notamment en évitant d’anciennes mauvaises relations, en ayant requis une curatelle, et obtenu une bourse, il n’en demeure pas moins que son avenir en Suisse reste très incertain. Il fait par ailleurs l’objet d’un suivi psychothérapeutique et addictologique, dans le cadre duquel il a déclaré ne pas vouloir cesser sa consommation de cannabis. Il a aussi expliqué lors de son audition du 27 février 2020 qu'il venait d'obtenir une bourse d'étude qui l'aidera également à financer sa consommation de joints. On accordera donc peu de crédit aux déclarations plus rassurantes que le prévenu a faites par la suite, notamment à l’audience d’appel. Quant aux rapports déposés à cette occasion, émanant de l’employeur et des thérapeutes de l’intéressé, même s’ils témoignent d’une évolution encourageante, ils confirment que l’intéressé a besoin d’un encadrement pour fonctionner et donc qu’il n’est pas intégré. La seule présence de sa mère et d’un frère en Suisse ne fonde pas un intérêt suffisant à demeurer dans notre pays, sachant au demeurant que son père et son frère vivent en Tunisie. Là encore, s’agissant de ce prévenu, les faits sont graves et l’intérêt public à l’expulsion est important, alors que son propre intérêt à demeurer en Suisse est faible, ses chances de réintégration en Tunisie, où il a de la famille et où il a suivi toute sa scolarité, n’étant pas plus minces. Il se justifie dès lors de confirmer l’expulsion d’Z.________ du territoire suisse, les conditions de l’art. 66a al. 2 CP n’étant pas réunies. VI. Confiscation 8. M.________ requiert la restitution de son téléphone portable iPhone XR noir et blanc. Il soutient qu’il n’y a aucun lien entre le brigandage et cet appareil, même s’il concède qu’il a pu servir à envoyer des messages dans le cadre des infractions à la LStup. La mesure serait toutefois disproportionnée, dès lors que la restitution de cet appareil – dont il continuerait à payer les mensualités – ne mettrait pas en péril la sécurité de tiers et qu’il n’y aurait dès lors aucun intérêt public à sa confiscation et sa destruction.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