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144 vom 12. November 2020</w:t>
      </w:r>
    </w:p>
    <w:p>
      <w:r>
        <w:t>VD Tribunal cantonal, 2020-11-12, FR</w:t>
      </w:r>
    </w:p>
    <w:p>
      <w:r>
        <w:rPr>
          <w:b/>
        </w:rPr>
        <w:t xml:space="preserve">Quelle: </w:t>
      </w:r>
      <w:r>
        <w:t>https://mcp.opencaselaw.ch/entscheid/vd_findinfo_Jug___2021___144</w:t>
      </w:r>
    </w:p>
    <w:p>
      <w:r>
        <w:t>FR: VD_FINDINFO Jug / 2021 / 144 du 12 novembre 2020</w:t>
      </w:r>
    </w:p>
    <w:p>
      <w:r>
        <w:t>IT: VD_FINDINFO Jug / 2021 / 144 del 12 novembre 2020</w:t>
      </w:r>
    </w:p>
    <w:p>
      <w:pPr>
        <w:pStyle w:val="Heading2"/>
      </w:pPr>
      <w:r>
        <w:t>Regeste</w:t>
      </w:r>
    </w:p>
    <w:p>
      <w:r>
        <w:t>FIXATION DE LA PEINE, CONTRAINTE SEXUELLE, AUTORITÉ DE POURSUITE PÉNALE, DROIT ÉTRANGER, ACTE D'ORDRE SEXUEL AVEC UN ENFANT, COMPÉTENCE INTERNATIONALE | 189 al. 1 CP, 47 CP, 5 CP</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X.________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Dans un premier moyen, l’appelant soutient que ce serait à tort que le tribunal s'est déclaré compétent pour juger les faits constitutifs d’acte d’ordre sexuel avec des enfants qui se sont déroulés au Portugal, les conditions d'application de l'art. 5 al. 1 let. b CP n'étant pas remplies, la victime étant âgée de plus de 14 ans au moment des faits.</w:t>
      </w:r>
    </w:p>
    <w:p>
      <w:r>
        <w:rPr>
          <w:b/>
        </w:rPr>
        <w:t>E. 3.2</w:t>
      </w:r>
    </w:p>
    <w:p>
      <w:r>
        <w:t>Aux termes de l’art. 5 al. 1 CP, le code pénal est applicable à quiconque se trouve en Suisse et n’est pas extradé, et a commis à l’étranger notamment l’un des actes suivants : traite d’êtres humains (art. 182), contrainte sexuelle (art. 189), viol (art. 190), acte d’ordre sexuel commis sur une personne incapable de discernement ou de résistance (art. 191) ou encouragement à la prostitution (art. 195), si la victime avait moins de 18 ans (let. a) ou acte d’ordre sexuel avec un enfant (art. 187), si la victime avait moins de 14 ans (let. b). L’application de l’art. 187 CP, désigné à l’art. 5 al. 1 let. b CP est limité aux cas où la victime avait moins de 14 ans afin de s’aligner sur les droits des Etats qui entourent la Suisse (FF 1999 1787 et 1801 ss ; Dupuis et alii, Petit commentaire CP, 2 e éd., Bâle 2017, n. 3 ad. art. 5 CP) Selon l’art. 7 al. 1 CP, le code pénal est applicable à quiconque commet un crime ou un délit à l’étranger, sans que soient réalisées les conditions prévues aux art. 4, 5 ou 6 si l’acte est aussi réprimé dans l’État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Le code pénal portugais qualifie d' « abus sexuels sur des enfants » le fait d'avoir des relations sexuelles quelles qu'elles soient avec des mineurs âgés de moins de quatorze ans. La condition de la double incrimination de l’art. 7 al. 1 let. a CP n’est dès lors pas réalisée dans les cas où le mineur est âgé de plus de quatorze ans.</w:t>
      </w:r>
    </w:p>
    <w:p>
      <w:r>
        <w:rPr>
          <w:b/>
        </w:rPr>
        <w:t>E. 3.3</w:t>
      </w:r>
    </w:p>
    <w:p>
      <w:r>
        <w:t>Au moment des faits, en août 2011, Y.________, né le [...] 1996, avait 14 ans révolus. Avec l’appelant, on doit donc admettre que la compétence des autorités pénales suisses n’est pas acquise pour réprimer des « abus sexuels sur des enfants » au sens de l’art. 187 CP si les actes ont été commis par un ressortissant portugais, au Portugal, sur une victime portugaise âgée de plus de quatorze ans. Pour ce motif, il y a donc lieu de libérer X.________ du chef d’accusation d’actes d’ordre sexuel avec des enfants.</w:t>
      </w:r>
    </w:p>
    <w:p>
      <w:r>
        <w:rPr>
          <w:b/>
        </w:rPr>
        <w:t>E. 4.1</w:t>
      </w:r>
    </w:p>
    <w:p>
      <w:r>
        <w:t>L'appelant invoque ensuite une constatation incomplète ou erronée des faits en relation avec l’infraction de contrainte sexuelle retenue à son encontre et dont il estime devoir être libéré. Il soutient que l’élément de contrainte ferait défaut dès lors qu’il soutient avoir été « provoqué » par la victime. Il invoque en particulier à l’appui de cette thèse les déclarations de sa fille B.________, dont il estime qu’elles auraient dû conduire les premiers juges à le libérer de cette infraction, à tout le moins au bénéfice du doute.</w:t>
      </w:r>
    </w:p>
    <w:p>
      <w:r>
        <w:rPr>
          <w:b/>
        </w:rPr>
        <w:t>E. 4.2</w:t>
      </w:r>
    </w:p>
    <w:p>
      <w:r>
        <w:t>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Les déclarations de la victime constituent un élément de preuve. Le juge doit, dans l'évaluation globale de l'ensemble des éléments probatoires rassemblés au dossier, les apprécier librement (TF 6B_332/2020 du 21 janvier 2020 consid. 3.2 ; TF 6B_1283/2019 du 23 octobre 2019 consid. 1.2),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6B_1283/2018 du 14 février 2019 consid. 1.3).</w:t>
      </w:r>
    </w:p>
    <w:p>
      <w:r>
        <w:rPr>
          <w:b/>
        </w:rPr>
        <w:t>E. 4.3</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arrêts cités).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 TF 6B_1265/2019 du 9 avril 2020 consid. 3.3.2 publié à l'ATF 146 IV 153). En introduisant la notion de « pressions psychiques », le législateur a voulu viser les cas où la victime se trouve dans une situation sans espoir, sans pour autant que l'auteur ait recouru à la force physique ou à la violence (ATF 128 IV 106 consid. 3a/bb ; ATF 122 IV 97 consid. 2b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(TF 6B_326/2019 du 14 mai 2019 consid. 3.3.1).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et les réf. citées). Selon les circonstances, une menace ou l'ordre explicite à l'enfant de se taire n'est pas nécessaire pour admettre l'usage de la contrainte (consid. 3.6.1).</w:t>
      </w:r>
    </w:p>
    <w:p>
      <w:r>
        <w:rPr>
          <w:b/>
        </w:rPr>
        <w:t>E. 4.4</w:t>
      </w:r>
    </w:p>
    <w:p>
      <w:r>
        <w:t>C'est en vain que l'appelant conteste sa condamnation pour contrainte sexuelle. Tout d’abord, on rappellera que, comme l’ont à juste titre relevé les premiers juges, l’appelant n’a admis les faits qu’avec beaucoup de peine. Il a ainsi concédé en cours d’instruction qu’il y avait eu, pour le cas 1 de l’acte d’accusation (cf. lettre C.2.2.1 ci-dessus), ce contact entre son sexe en érection et la jambe du plaignant et pour le cas 2 (cf. lettre C.2.2.2), une pénétration anale du prévenu vis-à-vis du plaignant, jusqu’à l’éjaculation du premier, ce après quoi le prévenu a voulu masturber le plaignant, lequel n’en voulait rien et n’était pas en érection. A l’audience d’appel, X.________ a tout d’abord tenté de revenir sur ses déclarations, en prétendant qu’il n’y aurait jamais eu d’acte sexuel, avant d’admettre qu’il s’était « passé quelque chose de nature sexuelle ». Il conteste toutefois l’appréciation du tribunal de première instance selon laquelle il aurait contraint son neveu à de tels actes, faisant plaider que c’est ce dernier qui l’aurait séduit, admettant tout au plus qu’il n’aurait pas dû accepter les avances du mineur. Tout d’abord, il y a lieu de relever, à l’instar des premiers juges, que les déclarations de la fille de l’appelant ne lui sont d'aucun secours, tant il est évident qu'elles sont dépourvues de valeur probante, compte tenu du lien de parenté avec l'auteur de l'infraction. De toute manière ces déclarations ne pèsent pas lourd si on prend en considération les déclarations de la victime, mais également le fait que le prévenu a lui-même admis, durant l'enquête et aux débats de première instance, avoir, toujours au Portugal quelques années auparavant, tenté de sodomiser son neveu C.________ (jugement du 12 novembre 2020, p. 7), actes qui n'ont toutefois jamais été dénoncés à la justice. Au sujet de ce premier épisode, le prévenu avait même indiqué durant l'enquête qu'il « voulait violer » ce neveu (PV aud. 2, R. 23 et PV aud. 8, ligne 47 ss), précisant devant le procureur : « Avec lui, j’ai tenté de faire… du sexe. (...) il devait avoir 9 ou 10 ans » (ibidem). Dans le cadre de la présente cause, considérant ce précédent, ainsi que les aveux de l’appelant s’agissant de la réalité des actes, ou encore le traumatisme subi par la victime – encore profondément marquée au jour de l’audience d’appel – et qui a expliqué de manière parfaitement sincère et crédible son malaise et la façon dont il avait essayé de repousser son oncle en lui demandant également d'arrêter lors des premiers faits, la version de l’appelant consistant à expliquer qu’il se serait « laissé faire » par un neveu séducteur (jugement du 12 novembre 2020, p. 7) doit être écartée, indépendamment des considérations rapportées par sa fille (PV aud. 5, spéc. R. 7). L’élément de contrainte est donc également établi à satisfaction de droit. En effet, la victime a demandé à son oncle d’arrêter ses agissements, manifestant clairement son désaccord. A cet égard, on ne peut ignorer que la victime est le neveu du prévenu, qui est son aîné de trente-trois ans, et que celui-ci bénéficiait de la confiance de toute sa famille. Compte tenu de l'âge de la victime, soit 14 ans à l’époque des faits, du lien de parenté et des rapports qu'un enfant peut entretenir avec un oncle prétendument au-dessus de tout soupçon, la soumission de la victime après un premier refus est tout à fait compréhensible. Au demeurant, l'appelant était conscient de contraindre son neveu, puisqu'il avait perçu l'opposition de celui-ci lors des premiers faits à tout le moins. C'est donc à bon droit que l'appelant a été condamné pour contrainte sexuelle. La compétence des autorités pénales suisses pour réprimer cette infraction est acquise en vertu de l'art. 5 al. 1 let. a CP.</w:t>
      </w:r>
    </w:p>
    <w:p>
      <w:r>
        <w:rPr>
          <w:b/>
        </w:rPr>
        <w:t>E. 5.1</w:t>
      </w:r>
    </w:p>
    <w:p>
      <w:r>
        <w:t>Dans un moyen subsidiaire, l'appelant fait valoir que la peine privative de liberté prononcée à son encontre devrait être réduite, car les premiers juges n'auraient en particulier pas suffisamment tenu compte de sa situation personnelle, et qu'un sursis au moins partiel devrait lui être octroyé.</w:t>
      </w:r>
    </w:p>
    <w:p>
      <w:r>
        <w:rPr>
          <w:b/>
        </w:rPr>
        <w:t>E. 5.2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5.3</w:t>
      </w:r>
    </w:p>
    <w:p>
      <w:r>
        <w:t>Selon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 er janvier 2018, qui n'est pas plus favorable à l'intéressé (cf. art. 2 al. 2 CP; TF 6B_388/2018 du 13 septembre 2018 consid. 4.1). Même si l'art. 43 CP ne le prévoit pas expressément, l'octroi d'un sursis partiel suppose, comme pour l'octroi du sursis complet dans le cadre de l'art. 42 CP, l'absence de pronostic défavorable (ATF 134 IV 60 consid. 7.4 p. 77 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p. 10 ; TF 6B_1247/2017 du 30 mai 2018 consid. 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5.4</w:t>
      </w:r>
    </w:p>
    <w:p>
      <w:r>
        <w:t>La culpabilité de X.________ est lourde. L’appelant a porté atteinte à l’un des biens juridiques les plus précieux, soit l’intégrité sexuelle d’un mineur. Il s’en est pris à son neveu, dont il savait pouvoir bénéficier de la confiance. Après une première tentative, lors de laquelle il a pourtant bien identifié le refus de sa victime, il a réitéré ses agissements quelques jours plus tard, parvenant à imposer une sodomie traumatisante à sa victime. Au demeurant, les conséquences des actes commis par le prévenu sont dévastatrices pour le jeune homme, dont la vie sexuelle restera indubitablement marquée par l’humiliation liée à cette relation homosexuelle non désirée. Y.________ a été profondément bouleversé. Il vit des flash-backs, a un sommeil perturbé, a du dégoût pour son corps, a honte de lui-même, se sent coupable des abus subis et souffre d’un stress post-traumatique comme cela ressort de l’attestation établie par l’Espace de prévention en septembre 2018 et comme a pu le constater la Cour de céans lors de l’audience d’appel encore. L’appelant fait valoir que les premiers juges n’auraient pas suffisamment tenu compte, à sa décharge, de son casier judiciaire vierge, de l’ancienneté des faits, de son intégration dans la société et du fait qu’il a entrepris, sur une base volontaire, un suivi thérapeutique. S’agissant de l’absence d’antécédents, on rappellera qu’il s’agit d’un élément neutre. Pour le surplus, il apparaît bien plutôt que, depuis le début de la procédure ouverte à son encontre, le prévenu se pose en victime de son neveu qui aurait eu l'initiative des relations sexuelles. A aucun moment il n’a démontré une quelconque prise de conscience de la gravité de ses actes par rapport à sa victime. On ne saurait déduire du seul fait qu’il a entrepris un suivi thérapeutique le début d’une prise de conscience de la gravité de ses actes à ce stade, tant l’appelant semble encore dans le déni de sa problématique vis-à-vis des mineurs. Enfin, son intégration sociale est plus que limitée si l’on considère que l’appelant vit en Suisse depuis plus de trente ans mais qu’il ne parle toujours pas le français. Il a certes un travail et n’a pas de dettes, mais ces éléments ne sont pas déterminants. Il n’y a donc guère d’autre circonstance à décharge à prendre en considération autre que l’intelligence modeste de l’appelant. Au vu de ces éléments, la contrainte sexuelle doit être sanctionnée par une peine privative de liberté. Procédant à sa propre appréciation, la Cour de céans considère qu’au vu de la gravité des faits, soit deux agressions sexuelles commises de la part d’un oncle sur son neveu et qui se savait de surcroît attiré par les jeunes gens, respectivement les enfants, puisqu’il s’en était déjà pris à un autre neveu, une peine privative de liberté de trois ans doit être prononcée pour sanctionner le comportement de X.________. On relèvera à toutes fins utiles que la libération du prévenu de l’infraction d’actes d’ordre sexuel avec des enfants – infraction qui en concours aurait justifié, selon la Cour de céans une peine légèrement supérieure à celle prononcée par les premiers juges – n’a pas un effet déterminant sur la quotité de la peine qui doit être prononcée pour sanctionner le comportement odieux de l’appelant, qui, indépendamment de la qualification juridique, demeure le même que celui jugé en première instance.</w:t>
      </w:r>
    </w:p>
    <w:p>
      <w:r>
        <w:rPr>
          <w:b/>
        </w:rPr>
        <w:t>E. 5.5</w:t>
      </w:r>
    </w:p>
    <w:p>
      <w:r>
        <w:t>L’appelant requiert l’octroi d’un sursis. Au vu de la quotité de la peine, seule la question d’un sursis partiel se pose. Toutefois, celui-ci est manifestement exclu, si l'on considère l'ensemble des faits. Il est en effet particulièrement inquiétant de constater que l'appelant s'en ait pris à deux de ses neveux à plusieurs années d'intervalle et qu'il se présente devant ses juges comme ayant été victime des deux adolescents, tout en reconnaissant, ce qui est manifeste, qu'il pourrait avoir des tendances pédophiles. Le pronostic est donc à ce stade irrémédiablement défavorable et il est ainsi indispensable que l'appelant exécute l'entier de la peine pour des motifs de prévention spéciale. On ne sait en outre rien du traitement entrepris à titre privé, qui semble ne donner aucun résultat en l’état, au vu des déclarations du prévenu à l’audience d’appel.</w:t>
      </w:r>
    </w:p>
    <w:p>
      <w:r>
        <w:rPr>
          <w:b/>
        </w:rPr>
        <w:t>E. 6.1</w:t>
      </w:r>
    </w:p>
    <w:p>
      <w:r>
        <w:t>En définitive, l'appel de X.________ doit être partiellement admis et le jugement entrepris modifié dans le sens des considérants qui précèdent.</w:t>
      </w:r>
    </w:p>
    <w:p>
      <w:r>
        <w:rPr>
          <w:b/>
        </w:rPr>
        <w:t>E. 6.2</w:t>
      </w:r>
    </w:p>
    <w:p>
      <w:r>
        <w:t>Sur la base des listes des opérations produites par Me Julien Gafner , défenseur d’office de X.________, (P. 75) et par Me Roxane Chauvet-Mingard, conseil d’office de Y.________ (P. 74), dont il n’y a pas lieu de s’écarter, l’indemnité de défenseur d'office pour la procédure d'appel de Me Julien Gafner doit être arrêtée à 2'459 fr. 45, TVA et débours inclus, et l’indemnité de conseil d'office pour la procédure d'appel allouée à Me Roxane Chauvet-Mingard à 1’725 fr., TVA et débours inclus.</w:t>
      </w:r>
    </w:p>
    <w:p>
      <w:r>
        <w:rPr>
          <w:b/>
        </w:rPr>
        <w:t>E. 6.3</w:t>
      </w:r>
    </w:p>
    <w:p>
      <w:r>
        <w:t>Vu l’issue de la cause, les frais de la procédure d’appel, soit l’émolument de jugement par 2’460 fr. (art. 21 al. 1 et 2 TFIP [Tarif des frais de procédure et indemnités en matière pénale du 28 septembre 2010 ; BLV 312.03.1]) ainsi que les indemnités de défenseur d’office de l’appelant et de conseil d'office du plaignant, respectivement fixées à 2'459 fr. 45 et 1’725 fr, soit au total 6’644 fr. 45, seront mis par deux tiers à la charge de X.________, le solde étant laissé à la charge de l’Etat (art. 428 al. 1, 1 re phrase, CPP). Il n’y a pas lieu de modifier les frais de première instance, les opérations d’enquête et de jugement ayant été les mêmes pour les deux infractions envisagées. L’appelant ne sera tenu de rembourser à l’Etat la part des montants des indemnités en faveur de son défenseur d’office et du conseil d’office de Y.________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