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121 vom 7. September 2020</w:t>
      </w:r>
    </w:p>
    <w:p>
      <w:r>
        <w:t>VD Tribunal cantonal, 2020-09-07, FR</w:t>
      </w:r>
    </w:p>
    <w:p>
      <w:r>
        <w:rPr>
          <w:b/>
        </w:rPr>
        <w:t xml:space="preserve">Quelle: </w:t>
      </w:r>
      <w:r>
        <w:t>https://mcp.opencaselaw.ch/entscheid/vd_findinfo_Jug___2021___121</w:t>
      </w:r>
    </w:p>
    <w:p>
      <w:r>
        <w:t>FR: VD_FINDINFO Jug / 2021 / 121 du 7 septembre 2020</w:t>
      </w:r>
    </w:p>
    <w:p>
      <w:r>
        <w:t>IT: VD_FINDINFO Jug / 2021 / 121 del 7 settembre 2020</w:t>
      </w:r>
    </w:p>
    <w:p>
      <w:pPr>
        <w:pStyle w:val="Heading2"/>
      </w:pPr>
      <w:r>
        <w:t>Regeste</w:t>
      </w:r>
    </w:p>
    <w:p>
      <w:r>
        <w:t>ASSASSINAT, INTERNEMENT{DROIT PÉNAL}, À VIE, RÉCLUSION, INSTIGATION, CONCOURS D'INFRACTIONS, EXPERTISE, MEURTRE PASSIONNEL, TENTATIVE{DROIT PÉNAL} | 112 CP, 113 CP, 22 ad 112 CP, 24 CP, 40 CP, 49 al. 1 CP, 64 al. 1 CP</w:t>
      </w:r>
    </w:p>
    <w:p>
      <w:pPr>
        <w:pStyle w:val="Heading2"/>
      </w:pPr>
      <w:r>
        <w:t>Erwägungen</w:t>
      </w:r>
    </w:p>
    <w:p>
      <w:r>
        <w:rPr>
          <w:b/>
        </w:rPr>
        <w:t>E. 7.1</w:t>
      </w:r>
    </w:p>
    <w:p>
      <w:r>
        <w:t>L’appelant conteste la quotité de la peine prononcée par les premiers juges. Une peine privative de liberté de sept ans serait adéquate.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et les réf. citées). Le juge dispose d'un large pouvoir d'appréciation dans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(ATF 144 IV 313 consid. 1.2 ; ATF 136 IV 55 consid. 5.6, JdT 2010 IV 127 ; TF 6B_984/2020, déjà cité, consid. 3.1).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déjà cité, consid. 3.1 ; cf. ATF 127 IV 101 consid. 2b ; TF 6B_36/2019 du 2 juillet 2019 consid. 3.6.2 ; TF 6B_688/2014 du 22 décembre 2017 consid. 27.2.1). Selon la jurisprudence, en cas de concours entre plusieurs infractions, dont une seule est passible d'une peine privative de liberté à vie, le prononcé d'une condamnation à vie ne peut pas se fonder sur le seul principe de l'aggravation de l'ancien art. 68 ch. 1 CP et de l'art. 49 al. 1 CP. En effet, une telle augmentation de la peine frapperait plus durement l'auteur que si plusieurs peines de durée déterminée étaient cumulées ; le prononcé d'une peine à vie ne sera possible que si l'une des infractions en cause justifie en soi une telle sanction (ATF 132 IV 102 consid. 9.1). En revanche, il est admis qu'une condamnation à vie puisse résulter du seul effet de l'aggravation du concours lorsque l'auteur a commis plusieurs infractions passibles de la peine privative à vie (ATF 141 IV 61 consid. 6.1.2 et les réf. citées ; TF 6B_984/2020, déjà cité, consid. 3.1). La peine privative de liberté à vie est la sanction la plus lourde du Code pénal (art. 40 CP). Elle constitue le plafond du cadre légal des infractions qui la prévoient, l’assassinat notamment (art. 112 CP). Pour cette raison déjà, une motivation particulièrement complète et précise doit être exigée (cf. ATF 127 IV 101 consid. 2c ; TF 6B_36/2011 du 18 octobre 2011 consid. 2.1). Le juge qui reconnaît un prévenu coupable d'assassinat peut le condamner soit à une peine privative de liberté de durée déterminée de dix ans au moins mais de vingt ans au plus (art. 40 1 re phrase CP) soit à la peine privative de liberté à vie (art. 112 CP). Quand il décide de franchir le seuil des vingt ans, le juge doit indiquer pour quel motif une peine de durée déterminée, même de vingt ans, ne lui paraît pas suffisante (TF 6B_284/2012, 6B_285/2012 du 29 octobre 2012 consid. 4.1.4).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(ATF 142 IV 14 consid. 5.4 et les réf. citées, JdT 2016 IV 325). Toutefois, le juge peut apprécier l'importance que ces circonstances revêtent dans le cas particulier dans le cadre de l'art. 47 al. 2 CP (ATF 120 IV 67 consid. 2b, JdT 1994 I 773 ; ATF 118 IV 342 consid. 2b, JdT 1994 IV 67). En effet, le juge fixe la peine en fonction de la gravité de la faute qui doit être évaluée au regard des circonstances de l'infraction et de la personne de l'auteur (TF 6B_984/2020, déjà cité, consid. 3.3). En analysant de manière détaillée les motivations de l'auteur et en déterminant le degré d'égoïsme dans son mobile au regard de l'ensemble des circonstances, le tribunal tient compte de la mesure concrète de la faute commise. Dans ces conditions, il ne viole pas l'interdiction de la double prise en considération (TF 6B_984/2020, déjà cité, consid. 3.3.2).</w:t>
      </w:r>
    </w:p>
    <w:p>
      <w:r>
        <w:rPr>
          <w:b/>
        </w:rPr>
        <w:t>E. 7.3</w:t>
      </w:r>
    </w:p>
    <w:p>
      <w:r>
        <w:t>L’appelant est condamné pour assassinat (cf. supra consid. 5.3.7), instigation à tentative d’assassinat et tentative d’instigation à assassinat (cf. supra consid. 6.3.3). Il a ainsi commis, en concours, plusieurs infractions passibles d’une peine privative de liberté à vie. Il est également condamné pour lésions corporelles simples qualifiées, délit manqué de contrainte, voies de fait qualifiées, injure, tentative de menaces qualifiées, menaces qualifiées commises contre son épouse, infractions qu’il a renoncé à contester en appel. La culpabilité de l’appelant est extrêmement lourde. Il a volontairement, sciemment et avec une détermination froide et redoutable ôté la vie d’un être humain, par ailleurs sa première victime, dont il avait commandité l’assassinat, n’ayant survécu qu’en raison du hasard. Il a agi pour des motifs particulièrement égoïstes et futiles, soit par esprit de vengeance envers deux des amants de son épouse, avec qui il ne partageait plus aucune vie intime et qu’il violentait. Il a voulu laver son honneur auprès de la communauté tamoule, ne supportant pas l’idée de perdre le statut social qu’il avait acquis au fil des années, en particulier en parvenant à acheter un appartement, qu’il n’acceptait pas de devoir quitter en raison de la séparation judiciaire d’avec son épouse. On ne discerne chez cet auteur aucune prise de conscience ni amendement. Il n’a certes pas contesté les actes de violence conjugale en appel, mais s’est contenté de dire que sa femme exagérait et que c’était normal dans sa religion. Il accuse son épouse et J.________ d’être responsables de l’état de désarroi dans lequel il se serait prétendument trouvé. Il a certes dit qu’il était triste qu’une personne soit décédée à cause de lui et qu’il se sentait mal (PV audience d’appel, p. 5). On ne discerne toutefois pas là de véritables remords ou des regrets. Pour ce qui est des faits survenus au Sri Lanka, après les avoir pourtant décrits de manière détaillée à la police, l’appelant a nié avoir commandité la tentative d’assassinat, accusant, pour se dédouaner, les inspecteurs de lui avoir extorqué ses aveux. Il a par ailleurs dit que toutes les personnes interrogées pendant l’enquête et sa communauté avaient menti (PV audience d’appel, p. 5). Une simple lecture de quelques extraits de conversations téléphoniques du prévenu en détention, pendant la procédure d’appel, démontre qu’il se préoccupe particulièrement du sort de sa maison (cf. P. 421 et 422) et qu’il ne s’estime pas responsable des actes qu’il a commis, parlant de la Suisse comme d’une dictature et affirmant que les avocats ne sont pas au courant du système de ce pays, que le jour des faits, « ils » ont réussi à prendre sa signature sur des papiers (P. 421/1). On ne décèle au demeurant aucun élément à décharge chez le prévenu, dont la responsabilité était pleine et entière au moment des faits (P. 238, p. 22 ; jugement, p. 44). A lui seul, l’assassinat de J.________, soit l’infraction la plus grave, justifierait qu’une peine privative de liberté de dix-huit ans soit prononcée. Par l’effet du concours et compte tenu des autres infractions commises, en particulier de l’instigation à assassinat, le seuil d’une peine privative de liberté de vingt ans est dépassé, ce qui justifie que la peine privative de liberté qui doit sanctionner le comportement de l’appelant soit prononcée à vie. En outre, l’appelant doit être condamné à une peine pécuniaire pour les injures proférées à l’encontre de son épouse. La quotité de cette peine peut être arrêtée à vingt jours-amende. Au vu de sa situation financière, le montant du jour-amende doit être arrêté à 30 francs. Le comportement dénigrant et humiliant adopté par le prévenu à l’égard de sa femme depuis de nombreuses années ne laisse aucune place pour un pronostic favorable. La peine pécuniaire doit donc être ferme. Une amende doit également s’ajouter pour réprimer les voies de fait qualifiées commises sur son épouse. Celle-ci, compte tenu de la situation financière du prévenu, peut être arrêtée à 600 francs. Quant à la peine privative de liberté de substitution, celle-ci doit être fixée à vingt jours.</w:t>
      </w:r>
    </w:p>
    <w:p>
      <w:r>
        <w:rPr>
          <w:b/>
        </w:rPr>
        <w:t>E. 8.1</w:t>
      </w:r>
    </w:p>
    <w:p>
      <w:r>
        <w:t>L’appelant conteste la mesure d’internement prononcée par les premiers juges. Dès lors que le rapport d’expertise du Dr S.________ et son complément ne se prononceraient pas sur les chances de succès de l’internement et sur les possibilités de le faire exécuter, une telle mesure n’aurait pas pu être ordonnée. Le risque de récidive ne serait en outre pas hautement vraisemblable.</w:t>
      </w:r>
    </w:p>
    <w:p>
      <w:r>
        <w:rPr>
          <w:b/>
        </w:rPr>
        <w:t>E. 8.2</w:t>
      </w:r>
    </w:p>
    <w:p>
      <w:r>
        <w:t>Une peine privative de liberté, peut être assortie d'une mesure d'internement lorsque les conditions pour une telle mesure sont réunies (ATF 142 IV 56 consid. 2, JdT 2016 IV 367). Selon le système légal, le condamné doit d'abord exécuter sa peine privative de liberté (cf. art. 64 al. 2 CP). S'agissant d'une peine privative de liberté à vie, une libération conditionnelle est susceptible d'entrer en ligne de compte après quinze ans, pour autant qu'il soit à prévoir que l'auteur se conduira bien en liberté (cf. art. 64 al. 3 CP). Il faut une forte probabilité que l'auteur se conduise bien en liberté. Le degré d'exigence à respecter est très élevé au regard des enjeux de sécurité publique (cf. ATF 142 IV 56 consid. 2.4 et les réf. citées). Autrement dit, tant qu'il subsiste une dangerosité chez l'auteur, celui-ci doit continuer à exécuter sa peine privative de liberté à vie, aussi longtemps que nécessaire, la question étant revue annuellement (cf. art. 64b al. 1 let. a CP). En supposant que les conditions pour une libération conditionnelle soient réalisées, il y a alors lieu de l'ordonner tant pour la peine privative de liberté que pour la mesure d'internement dès lors que les mêmes critères d'appréciation prévalent (cf. art. 64 al. 3 et 64a al. 1 CP ; ATF 142 IV 56 consid. 2.4 in fine ). Une solution coordonnée peut donc être mise en œuvre. 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CP semble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En présence d'un trouble psychiatrique, l'internement constitue, conformément au principe de proportionnalité consacré par l'art. 56 al. 2 CP, une mesure subsidiaire aux mesures institutionnelles prévues par l'art. 59 CP. En tant qu' 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 interné dans un établissement d'exécution des peines (ATF 140 IV 1 consid. 3.2.4, JdT 2014 IV 271 ; ATF 134 IV 315 consid. 3.2, JdT 2009 IV 79 ; TF 6B_247/2020 du 26 mai 2020 consid. 3.1).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Lorsqu'une mesure d'internement est envisagée, l'expertise doit donc indiquer s'il faut s'attendre avec une haute probabilité à la commission de futures infractions et le type d'infractions concernées (TF 6B_875/2019 du 9 septembre 2019 consid. 1.1.1 ;  TF 6B_1397/2017 du 26 avril 2018 consid. 1.1.3 ; TF 6B_1348/2017 du 22 janvier 2018 consid. 1.1.3 ; TF 6B_346/2016 du 31 janvier 2017 consid. 3.2 et les réf.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2.3.1 et les arrêts cités ; TF 6B_875/2019, déjà cité, consid. 1.1.1 ;  TF 6B_1397/2017, déjà cité, consid. 1.1.3).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6B_157/2019 du 11 mars 2019  consid. 1.3.1 ; TF 6B_1167/2018 du 23 janvier 2019 consid. 4.1 et les réf. citées).</w:t>
      </w:r>
    </w:p>
    <w:p>
      <w:r>
        <w:rPr>
          <w:b/>
        </w:rPr>
        <w:t>E. 8.3</w:t>
      </w:r>
    </w:p>
    <w:p>
      <w:r>
        <w:t>En l’espèce, les actes commis par l’appelant entrent dans la catégorie des infractions pouvant justifier un internement au sens de l’art. 64 al. 1 CP. Par ailleurs, le prévenu ne présente aucune pathologie psychiatrique constituée (P. 238, pp. 19 et 27). La mesure d’internement ne peut être fondée que sur l’art. 64 al. 1 let. a CP. Les développements de l’appelant sur les chances de succès du traitement et les possibilités d’exécuter la mesure ne sont pas pertinents dès lors qu’il ne s’agit pas de conditions nécessaires au prononcé de la mesure litigieuse. S’agissant du risque de récidive, l’expert S.________, dans son rapport du 28 janvier 2019, a considéré que s’il était retenu que l’appelant avait assassiné J.________ avec préméditation, la capacité de l’expertisé à planifier la mise en acte de tuer autrui faisait prévoir un risque accru de récidive d’actes de même nature. L’expert a ajouté que dans l’hypothèse où l’appelant était également reconnu coupable d’instigation à tentative d’assassinat sur K.________ avec préméditation, cela entraînait un accroissement important du risque de récidive d’actes de même nature. Cet expert a souligné que cela indiquait que l’appelant avait récidivé dans ce qui était devenu un homicide abouti, ce qui était un indicateur de risque de récidive d’actes de même nature bien plus élevé. Il a ajouté que si les violences conjugales à l’encontre de son  épouse étaient également avérées, cela représentait un facteur de risque accru d’actes de violence tels que ceux commis envers K.________ et J.________ dans le cadre d’une relation affective investie (P. 238, p. 21 ; cf. jugement, pp. 59-60). S’agissant de la question de l’internement, l’expert a renvoyé à ses considérations en lien avec le risque de récidive (P. 238, p. 27). L’expert a indiqué dans son complément du 3 mai 2019 pourquoi il ne pouvait pas être plus précis (P. 283, p. 2). Il a été interpellé sur cette question à l’audience de première instance. Cet expert a confirmé ses conclusions aux débats en précisant que l’appelant n’avait pas accepté que son épouse s’éloigne de lui et que le même type de difficulté pouvait se reproduire dans le cadre d’une relation future (cf. jugement, p. 5). L’expert a encore ajouté que plus il y avait d’actes de violence passés, plus il y avait de risque qu’ils se manifestent à nouveau. Il a conclu en disant que, dans le cas de l’appelant, si on mettait bout à bout tous les éléments, le risque de commission d’actes de violence dans une situation similaire devenait important (cf. jugement, p. 6). A cet égard la citation à laquelle procède l’appelant du complément d’expertise dans sa lettre du 18 février 2021 et en plaidoirie, où ce risque serait qualifié de bas, est tronquée. L’expert s’est en effet contenté de dire que le calcul du risque de récidive se fonde, entre autres, sur le taux statistique d’apparition dans la population générale de l’événement, qui est bas concernant les faits incriminés (P. 238, p. 2). C’est bien normal dès qu’il est peu fréquent de tuer ou tenter de tuer l’amant, respectivement les amants, de sa femme. Pour le reste, il n’appartient pas à l’expert de dire s’il est sérieusement à craindre que le prévenu récidive, mais au juge. L’appréciation des premiers juges à cet égard peut être confirmée. L’appelant a en effet nourri une intention homicide envers J.________ durant des mois et a récidivé près de dix ans après les faits survenus au Sri Lanka. S’il n’est pas passé à l’acte, l’appelant s’est montré menaçant envers le troisième amant de son épouse, soit A.________, l’intéressé ayant mis fin à la relation qu’il entretenait avec W.________ par crainte des représailles de l’appelant, ayant cru qu’il allait le tuer lorsqu’il était venu frapper à sa porte un matin (PV aud. 20, R. 9, p. 7 ; cf. jugement, pp. 60-61). L’appelant minimise les faits qui lui sont reprochés et ne fait preuve d’aucune prise de conscience. Le risque de récidive est dès lors hautement vraisemblable. Au vu des faits reprochés à l’appelant et de son comportement, le prononcé d’une peine privative de liberté à vie n’apparaît pas suffisant pour réduire le risque de récidive et protéger la société de manière adéquate.</w:t>
      </w:r>
    </w:p>
    <w:p>
      <w:r>
        <w:rPr>
          <w:b/>
        </w:rPr>
        <w:t>E. 9.1</w:t>
      </w:r>
    </w:p>
    <w:p>
      <w:r>
        <w:t>Conformément à l’art. 51 CP, la détention subie par l’appelant depuis le jugement de première instance doit être déduite de la peine prononcée.</w:t>
      </w:r>
    </w:p>
    <w:p>
      <w:r>
        <w:rPr>
          <w:b/>
        </w:rPr>
        <w:t>E. 9.2</w:t>
      </w:r>
    </w:p>
    <w:p>
      <w:r>
        <w:t>Au vu du risque de récidive présenté par l’appelant, il se justifie d’ordonner son maintien en détention pour des motifs de sûretés.</w:t>
      </w:r>
    </w:p>
    <w:p>
      <w:r>
        <w:rPr>
          <w:b/>
        </w:rPr>
        <w:t>E. 10.1</w:t>
      </w:r>
    </w:p>
    <w:p>
      <w:r>
        <w:t>Au vu de ce qui précède, l’appel doit être rejeté et le jugement entrepris confirmé.</w:t>
      </w:r>
    </w:p>
    <w:p>
      <w:r>
        <w:rPr>
          <w:b/>
        </w:rPr>
        <w:t>E. 10.2.1</w:t>
      </w:r>
    </w:p>
    <w:p>
      <w:r>
        <w:t>Selon l'art. 135 al. 1 CPP, le défenseur, respectivement conseil, d’office est indemnisé conformément au tarif des avocats de la Confédération ou du canton du for du procès. Dans le Canton de Vaud, le tarif horaire de l’avocat d’office breveté est fixé à 180 fr., respectivement à 110 fr. s’agissant de l’avocat-stagiaire,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rPr>
          <w:b/>
        </w:rPr>
        <w:t>E. 10.2.2</w:t>
      </w:r>
    </w:p>
    <w:p>
      <w:r>
        <w:t>Dans sa liste des opérations du 10 mars 2021 (P. 427), Me Michaël Aymon demande qu’une indemnité correspondant à 102,5 heures de travail d’avocat lui soit versée, ce qui est trop élevé, en particulier pour une procédure de deuxième instance. On tiendra compte, sans s’écarter de la liste des opérations, des 71 minutes consacrées à des téléphones, des 7 h 46 d’entretien et d’1 h 10 pour la requête du 18 février 2021. On admettra 3 h pour les correspondances, annoncées à hauteur de 17 h 40. On admettra 12 heures pour la déclaration d’appel et l’étude du dossier au lieu des 22 h 32 demandées. On admettra 8 heures de préparation d’audience au lieu des 22 h 40 requises, 5 heures d’audience – y compris la lecture du jugement – et 1 h d’opérations post-audience. Le temps consacré à des trajets, par 15 h 57, ne sera pas indemnisé, celui-ci étant compris dans les forfaits de vacation. En définitive, on admettra 39 h 07, qu’on arrondira à 40 heures de travail d’avocat. Il s’ensuit que l’indemnité de Me Michaël Aymon peut être arrêtée à 7'200  fr. (40 h x 180 fr.), montant auquel s’ajoutent 960 fr. pour huit forfaits de vacation (art. 3bis al. 3 RAJ), les débours forfaitaires de 144 fr. (7'200  fr. x 2 %) et la TVA de 7.7 % sur le tout, par 639 fr. 40, ce qui donne un total de 8'943 fr. 40.</w:t>
      </w:r>
    </w:p>
    <w:p>
      <w:r>
        <w:rPr>
          <w:b/>
        </w:rPr>
        <w:t>E. 10.2.3</w:t>
      </w:r>
    </w:p>
    <w:p>
      <w:r>
        <w:t>Il n’y a pas lieu de s’écarter de la liste des opérations produite par Me François Gillard (P. 426), de sorte que son indemnité peut être arrêtée à 1'290 fr. (7 h 10 x 180 fr.), montant auquel s’ajoutent 120 fr. pour un forfait de vacation (art. 3bis al. 3 RAJ), les débours forfaitaires de 25 fr. 80 (1'290 fr. x 2 %) et la TVA de 7.7 % sur le tout, par 110 fr. 55, ce qui donne un total de 1'546 fr. 35.</w:t>
      </w:r>
    </w:p>
    <w:p>
      <w:r>
        <w:rPr>
          <w:b/>
        </w:rPr>
        <w:t>E. 10.2.4</w:t>
      </w:r>
    </w:p>
    <w:p>
      <w:r>
        <w:t>Quant à l’indemnité de Me Sébastien Moret, celle-ci sera arrêtée sur la base de sa liste des opérations du 8 février 2021 (P. 410), à 642 fr. 60, soit 630 fr. d’honoraires correspondant à 3,5 heures de travail d’avocat, débours forfaitaires de 12 fr. 60 en sus (630 fr. x 2 %), l’avocat n’étant pas soumis à la TVA. Le chiffre VII du dispositif sera ainsi rectifié d’office en ce sens que l’indemnité comprend les débours mais pas la TVA (art. 83 al. 1 CPP).</w:t>
      </w:r>
    </w:p>
    <w:p>
      <w:r>
        <w:rPr>
          <w:b/>
        </w:rPr>
        <w:t>E. 10.3</w:t>
      </w:r>
    </w:p>
    <w:p>
      <w:r>
        <w:t>Les frais d’appel seront arrêtés à 17'662 fr. 35, soit 6'530 fr. pour l’émolument d’audience et de jugement (art. 21 al. 1 et 2 TFIP) et 11'132 fr. 35 (8'943 fr. 40 + 1'546 fr. 35 + 642 fr. 60) pour les indemnités aux conseils et défenseur d’office. Ils seront mis à la charge de l’appelant, qui succombe (art. 428 al. 1 CPP).</w:t>
      </w:r>
    </w:p>
    <w:p>
      <w:r>
        <w:rPr>
          <w:b/>
        </w:rPr>
        <w:t>E. 10.4</w:t>
      </w:r>
    </w:p>
    <w:p>
      <w:r>
        <w:t>L’appelant ne sera tenu de rembourser à l'Etat les indemnités allouées aux conseils et défenseur d’office mises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