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111 vom 7. Oktober 2020</w:t>
      </w:r>
    </w:p>
    <w:p>
      <w:r>
        <w:t>VD Tribunal cantonal, 2020-10-07, FR</w:t>
      </w:r>
    </w:p>
    <w:p>
      <w:r>
        <w:rPr>
          <w:b/>
        </w:rPr>
        <w:t xml:space="preserve">Quelle: </w:t>
      </w:r>
      <w:r>
        <w:t>https://mcp.opencaselaw.ch/entscheid/vd_findinfo_Jug___2021___111</w:t>
      </w:r>
    </w:p>
    <w:p>
      <w:r>
        <w:t>FR: VD_FINDINFO Jug / 2021 / 111 du 7 octobre 2020</w:t>
      </w:r>
    </w:p>
    <w:p>
      <w:r>
        <w:t>IT: VD_FINDINFO Jug / 2021 / 111 del 7 ottobre 2020</w:t>
      </w:r>
    </w:p>
    <w:p>
      <w:pPr>
        <w:pStyle w:val="Heading2"/>
      </w:pPr>
      <w:r>
        <w:t>Regeste</w:t>
      </w:r>
    </w:p>
    <w:p>
      <w:r>
        <w:t>FRAIS JUDICIAIRES, FAUTE, PROTECTION DE LA PERSONNALITÉ | 28 CC, 406 al. 1 let. d CPP (CH), 426 al. 2 CPP (CH)</w:t>
      </w:r>
    </w:p>
    <w:p>
      <w:pPr>
        <w:pStyle w:val="Heading2"/>
      </w:pPr>
      <w:r>
        <w:t>Erwägungen</w:t>
      </w:r>
    </w:p>
    <w:p>
      <w:r>
        <w:rPr>
          <w:b/>
        </w:rPr>
        <w:t>E. 1.1</w:t>
      </w:r>
    </w:p>
    <w:p>
      <w:r>
        <w:t>Interjetés dans les formes et délais légaux (art. 385 et 399 CPP [Code de procédure pénale suisse du 5 octobre 2007 ; RS 312.0]) par des parties qui ont qualité pour recourir (art. 382 CPP) contre un jugement du tribunal de première instance ayant clos la procédure (art. 398 CPP), les appels sont recevables.</w:t>
      </w:r>
    </w:p>
    <w:p>
      <w:r>
        <w:rPr>
          <w:b/>
        </w:rPr>
        <w:t>E. 1.2</w:t>
      </w:r>
    </w:p>
    <w:p>
      <w:r>
        <w:t>Les appels étant exclusivement dirigés contre le sort des frais et la réparation du tort moral, la procédure écrite est applicable (art. 406 al. 1 let. d CPP ; CAPE 23 juin 2020/214 consid. 1.2), ce qui exclut la tenue de débats publics. La cause ressort de la compétence de la Cour et non de celle du juge unique (cf. art. 14 al. 1 et al. 3, a contrario ,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3.1.1</w:t>
      </w:r>
    </w:p>
    <w:p>
      <w:r>
        <w:t>L’appelant Y.________ fait valoir qu’il serait inconcevable de le charger des frais de justice, puisqu’en l’acquittant, l’autorité de première instance aurait reconnu que M.________ avait commis un abus de droit. Il relève que le plaignant, aujourd’hui décédé, aurait violé les lois et « délinqué » en toute impunité. Il conviendrait ainsi de lui faire supporter les frais de justice à titre posthume.</w:t>
      </w:r>
    </w:p>
    <w:p>
      <w:r>
        <w:rPr>
          <w:b/>
        </w:rPr>
        <w:t>E. 3.1.2</w:t>
      </w:r>
    </w:p>
    <w:p>
      <w:r>
        <w:t>De son côté, H.________ fait valoir que la preuve des crimes de M.________, qui aurait déposé de nombreuses plaintes abusives, aurait été apportée en justice. Les mensonges de M.________ devraient ainsi être reconnus et les frais de justice mis à sa charge. Par ailleurs, une indemnité devrait lui être versée ensuite de son acquittement.</w:t>
      </w:r>
    </w:p>
    <w:p>
      <w:r>
        <w:rPr>
          <w:b/>
        </w:rPr>
        <w:t>E. 3.2.1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citées, JdT 2018 IV 292 ; TF 6B_215/2020 du 11 novembre 2020 consid. 1.1.1).</w:t>
      </w:r>
    </w:p>
    <w:p>
      <w:r>
        <w:rPr>
          <w:b/>
        </w:rPr>
        <w:t>E. 3.2.2</w:t>
      </w:r>
    </w:p>
    <w:p>
      <w:r>
        <w:t>Une atteinte, au sens des art. 28 ss CC (Code civil suisse du 10 décembre 1907 ; RS 210), est réalisée par tout comportement humain, tout acte de tiers qui cause d'une quelconque manière un trouble aux biens de la personnalité d'autrui en violation des droits qui la protègent (ATF 136 III 296 consid. 3.1 ; ATF 120 II 369 consid. 2). Il y a violation de la personnalité notamment lorsque l'honneur d'une personne est terni, lorsque sa réputation sociale et professionnelle est dépréciée (ATF 143 III 297 consid. 6.4.2 ; ATF 129 III 715 consid. 4.1, JdT 2004 I 271). Pour qu'il y ait atteinte au sens de l'art. 28 CC, la perturbation doit présenter une certaine intensité (TF 4A_123/2020 du 30 juillet 2020 consid. 4.2 et les réf. citées).</w:t>
      </w:r>
    </w:p>
    <w:p>
      <w:r>
        <w:rPr>
          <w:b/>
        </w:rPr>
        <w:t>E. 3.2.3</w:t>
      </w:r>
    </w:p>
    <w:p>
      <w:r>
        <w:t>Aux termes de l’art. 430 al. 1 let. a CPP, l’autorité pénale peut réduire ou refuser l’indemnité ou la réparation du tort moral si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6B_1180/2019 du 17 février 2020 consid. 2 ; TF 6B_7/2020 du 17 février 2020 consid. 5.1). Dans cette mesure, la décision sur les frais préjuge de la question de l'indemnisation (ATF 145 IV 268 consid. 1.2).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 ; TF 6B_215/2020, déjà cité, consid. 1.1.2).</w:t>
      </w:r>
    </w:p>
    <w:p>
      <w:r>
        <w:rPr>
          <w:b/>
        </w:rPr>
        <w:t>E. 3.3</w:t>
      </w:r>
    </w:p>
    <w:p>
      <w:r>
        <w:t>Les prévenus doivent être astreints au paiement de leur part des frais de justice, car ils n’ont cessé, sur leurs sites Internet et durant la procédure, de porter gravement atteinte à la personnalité de M.________, même à titre posthume. Ils n’ont ainsi jamais cessé d’accuser le plaignant d’avoir commis de nombreux crimes (escroquerie, faux dans les titres, menaces), sans être capables de produire la moindre décision condamnant le plaignant. Dans sa plainte du 5 décembre 2016 (P. 4), M.________ avait fait valoir que les prévenus continuaient à porter atteinte à sa personnalité par l’intermédiaire de sites Internet, sur lesquels il était en substance qualifié d’escroc. Force est de constater que la simple lecture d’actes déposés par les prévenus suffit à démontrer qu’ils ont porté atteinte à l’honneur du plaignant et qu’ils persistent à le faire. A titre d’exemple, dans son « appel contre le jugement du 28 juin 2017 » (P. 19/1/1647), H.________ a notamment écrit que M.________ s’était rendu coupable de complicité d’escroquerie et aurait commis des crimes. Dans son recours du 22 juillet 2017 (P. 19/1/1648), il a écrit que M.________ avait commis des abus de droit et des faux dans les titres. Quant à Y.________, il a notamment écrit au Ministère public de l’arrondissement du Nord vaudois le 18 novembre 2017 (P. 20), que M.________ serait un procédurier avéré qui n’aurait eu de cesse de proférer des menaces de mort à son encontre et à celui de tiers et que « ce pistolero est un psychopathe présumé ». De tels propos sont d’ailleurs repris dans les appels des prévenus. Il ne fait dès lors aucun doute que c’est bien le comportement des prévenus qui a conduit à l’ouverture de l’action pénale et que ceux-ci ont commis une faute civile, en portant atteinte à la personnalité du plaignant, justifiant que les frais judiciaires soient en partie mis à leur charge. Ce qui précède exclut qu’une indemnité leur soit allouée ensuite de leur acquittement.</w:t>
      </w:r>
    </w:p>
    <w:p>
      <w:r>
        <w:rPr>
          <w:b/>
        </w:rPr>
        <w:t>E. 4.1</w:t>
      </w:r>
    </w:p>
    <w:p>
      <w:r>
        <w:t>Au vu de ce qui précède, les appels interjetés par H.________ et Y.________ doivent être rejetés et le jugement entrepris confirmé en tant qu’il les concerne.</w:t>
      </w:r>
    </w:p>
    <w:p>
      <w:r>
        <w:rPr>
          <w:b/>
        </w:rPr>
        <w:t>E. 4.2</w:t>
      </w:r>
    </w:p>
    <w:p>
      <w:r>
        <w:t>Vu le sort de la cause, les frais de la procédure d’appel, par 770 fr. (art. 21 al. 1 TFIP [tarif des frais de procédure et indemnités en matière pénale du 28 septembre 2010 ; BLV 312.03.1]), seront répartis par moitié entre les prévenus, qui succombent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