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10 vom 11. Januar 2021</w:t>
      </w:r>
    </w:p>
    <w:p>
      <w:r>
        <w:t>VD Tribunal cantonal, 2021-01-11, FR</w:t>
      </w:r>
    </w:p>
    <w:p>
      <w:r>
        <w:rPr>
          <w:b/>
        </w:rPr>
        <w:t xml:space="preserve">Quelle: </w:t>
      </w:r>
      <w:r>
        <w:t>https://mcp.opencaselaw.ch/entscheid/vd_findinfo_Jug___2021___10</w:t>
      </w:r>
    </w:p>
    <w:p>
      <w:r>
        <w:t>FR: VD_FINDINFO Jug / 2021 / 10 du 11 janvier 2021</w:t>
      </w:r>
    </w:p>
    <w:p>
      <w:r>
        <w:t>IT: VD_FINDINFO Jug / 2021 / 10 del 11 gennaio 2021</w:t>
      </w:r>
    </w:p>
    <w:p>
      <w:pPr>
        <w:pStyle w:val="Heading2"/>
      </w:pPr>
      <w:r>
        <w:t>Regeste</w:t>
      </w:r>
    </w:p>
    <w:p>
      <w:r>
        <w:t>MOTIF DE RÉVISION, DÉCISION D'IRRECEVABILITÉ | 385 CP, 410 al. 1 let. a CPP (CH), 411 CPP (CH), 412 al. 2 CPP (CH)</w:t>
      </w:r>
    </w:p>
    <w:p>
      <w:pPr>
        <w:pStyle w:val="Heading2"/>
      </w:pPr>
      <w:r>
        <w:t>Erwägungen</w:t>
      </w:r>
    </w:p>
    <w:p>
      <w:r>
        <w:rPr>
          <w:b/>
        </w:rPr>
        <w:t>E. 1.1</w:t>
      </w:r>
    </w:p>
    <w:p>
      <w:r>
        <w:t>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 e phrase, CPP). Cette disposition reprend la double exigence posée à l'art. 385 CP (Code pénal suisse du 21 décembre 1937; RS 311.0), selon laquelle les faits ou moyens de preuve invoqués doivent être nouveaux et sérieux (TF 6B_574/2019 du 9 septembre 2019 consid. 1.1 et les références citées). Les faits ou moyens de preuve sont inconnus lorsque le juge n'en a pas eu connaissance au moment où il s'est prononcé, c'est-à-dire lorsqu'ils ne lui ont pas été soumis sous quelque forme que ce soit (ATF 137 IV 59 consid. 5.1.2 p. 66 s.; ATF 130 IV 72 consid. 1 p. 73; TF 6B_1061/2019 du 28 mai 2020 consid. 3.1; TF 6B_1110/2019 du 18 décembre 2019 consid. 1.1.1; TF 6B_342/2019 du 9 juillet 2019 consid. 1.1). Ils sont sérieux lorsqu'ils sont propres à ébranler les constatations de fait sur lesquelles se fonde la condamnation et que l'état de fait ainsi modifié rend possible un jugement sensiblement plus favorable au condamné (ATF 145 IV 197 consid. 1.1 p. 199; ATF 137 IV 59 consid. 5.1.4 p. 68; ATF 130 IV 72 consid. 1 p. 73; TF 6B_1061/2019 précité consid. 3.1; TF 6B_342/2019 précité consid. 1.1; TF 6B_574/2019 du 9 septembre 2019 consid. 1.1).</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la révision ne doit en effet pas servir à pallier l'oubli d'un moyen de droit dit ordinaire (Moreillon/Parein-Reymond, Petit commentaire du Code de procédure pénale, 2e éd., Bâle 2016, n. 2 ad remarques préliminaires aux art. 410 à 415 CPP et la référence citée).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412 al. 2 CPP, la juridiction d'appel n'entre pas en matière si la demande de révision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 ATF 143 IV 122 consid. 3.5 p. 129) ou encore lorsque la demande de révision apparaît abusive (TF 6B_1061/2019 du 28 mai 2020 consid. 3.2; TF 6B_1110/2019 précité consid. 1.1.2 et les références citées; TF 6B_1126/2019 du 4 novembre 2019 consid. 1.1; TF 6B_1170/2015 du 10 octobre 2016 consid. 2).</w:t>
      </w:r>
    </w:p>
    <w:p>
      <w:r>
        <w:rPr>
          <w:b/>
        </w:rPr>
        <w:t>E. 1.3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p. 75 s.; TF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p. 199; ATF 130 IV 72 consid. 2.3 p. 75 s.; TF 6B_1061/2019 précité consid. 3.3; TF 6B_662/2019 précité consid. 1.1).</w:t>
      </w:r>
    </w:p>
    <w:p>
      <w:r>
        <w:rPr>
          <w:b/>
        </w:rPr>
        <w:t>E. 1.4</w:t>
      </w:r>
    </w:p>
    <w:p>
      <w:r>
        <w:t>L'examen préalable de la demande de révision relève de la procédure écrite (art. 412 al. 1 CPP).</w:t>
      </w:r>
    </w:p>
    <w:p>
      <w:r>
        <w:rPr>
          <w:b/>
        </w:rPr>
        <w:t>E. 2.1</w:t>
      </w:r>
    </w:p>
    <w:p>
      <w:r>
        <w:t>Le requérant invoque sa consommation récurrente de drogue depuis son plus jeune âge, et par conséquent durant les périodes de service civil constituant l’objet des ordonnances pénales et du jugement ici en cause. Il produit des attestations écrites émanant de son frère et de plusieurs amis, aux termes desquelles il présenterait une dépendance aux stupéfiants.</w:t>
      </w:r>
    </w:p>
    <w:p>
      <w:r>
        <w:rPr>
          <w:b/>
        </w:rPr>
        <w:t>E. 2.2</w:t>
      </w:r>
    </w:p>
    <w:p>
      <w:r>
        <w:t>S’agissant des ordonnances pénales, le moyen soulevé en procédure de révision aurait sans autre pu l’être devant le Ministère public par une opposition selon l’art. 354 CPP, voie de droit prévue à cet effet. Le requérant n’en a toutefois rien fait. Or, comme déjà relevé, la révision constitue un moyen de droit extraordinaire et subsidiaire qui ne doit pas servir à pallier l'oubli d'un moyen de droit ordinaire. Il s’ensuit que les faits dont se prévaut le requérant ne sont pas nouveaux.</w:t>
      </w:r>
    </w:p>
    <w:p>
      <w:r>
        <w:rPr>
          <w:b/>
        </w:rPr>
        <w:t>E. 2.3</w:t>
      </w:r>
    </w:p>
    <w:p>
      <w:r>
        <w:t>S’agissant du jugement, le moyen soulevé en procédure de révision n’emporte pas la conviction, de sorte que les faits ou moyens de preuve invoqués ne sont pas sérieux au sens de l’art. 385 CP, précisé par la jurisprudence ci-dessus. En effet, les attestations écrites dont se prévaut le requérant sont libellées de manière identique, émanent de proches ou d’amis et ne permettent en aucun cas d’examiner sa situation au moment de sa condamnation, soit le 13 juin 2018. On ne saurait donc en déduire une incapacité de servir. Il en va de même des sanctions disciplinaires invoquées, prononcées par la direction des Etablissements de la Plaine de l’Orbe à l’encontre du requérant pour consommation de THC. En effet, celles-ci concernent les mois d’avril 2020 à novembre 2020, alors que la condamnation remonte, comme déjà relevé, à juin 2018.</w:t>
      </w:r>
    </w:p>
    <w:p>
      <w:r>
        <w:rPr>
          <w:b/>
        </w:rPr>
        <w:t>E. 2.4</w:t>
      </w:r>
    </w:p>
    <w:p>
      <w:r>
        <w:t>Enfin, il n’y a pas non plus lieu d’ordonner une expertise sur l’état de santé du requérant. En effet, la dernière condamnation dont la révision est demandée, soit celle prononcée par le jugement du 13 juin 2018, réprime des actes remontant au 31 juillet 2017, le requérant ne s’étant pas présenté à une affectation du service civil qui devait durer jusqu’au 30 mars 2018. On ne discerne guère comment une expertise (cf. l’art. 20 CP) pourrait établir le degré de responsabilité pénale de l’auteur (cf. l’art. 19 CP) quelque trois ans et demi après les faits réprimés. Quoi qu’il en soit, un tel moyen aurait pu et dû être soulevé durant la procédure clôturée par le jugement du 13 juin 2018.</w:t>
      </w:r>
    </w:p>
    <w:p>
      <w:r>
        <w:rPr>
          <w:b/>
        </w:rPr>
        <w:t>E. 3</w:t>
      </w:r>
    </w:p>
    <w:p>
      <w:r>
        <w:t>Il résulte de ce qui précède que les demandes de révision déposées par E.________ doivent être déclarées irrecevables, sans échange d’écritures (art. 412 al. 2 CPP). Vu l’issue de la cause, les frais de révision, par 660 fr. (art. 21 al. 1 LFIP [Tarif des frais de procédure et indemnités en matière pénale du 28 septembre 2010; BLV 312.03.1]), sont mis à la charge du requérant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