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96 vom 26. Juni 2019</w:t>
      </w:r>
    </w:p>
    <w:p>
      <w:r>
        <w:t>VD Tribunal cantonal, 2019-06-26, FR</w:t>
      </w:r>
    </w:p>
    <w:p>
      <w:r>
        <w:rPr>
          <w:b/>
        </w:rPr>
        <w:t xml:space="preserve">Quelle: </w:t>
      </w:r>
      <w:r>
        <w:t>https://mcp.opencaselaw.ch/entscheid/vd_findinfo_Jug___2020___96</w:t>
      </w:r>
    </w:p>
    <w:p>
      <w:r>
        <w:t>FR: VD_FINDINFO Jug / 2020 / 96 du 26 juin 2019</w:t>
      </w:r>
    </w:p>
    <w:p>
      <w:r>
        <w:t>IT: VD_FINDINFO Jug / 2020 / 96 del 26 giugno 2019</w:t>
      </w:r>
    </w:p>
    <w:p>
      <w:pPr>
        <w:pStyle w:val="Heading2"/>
      </w:pPr>
      <w:r>
        <w:t>Regeste</w:t>
      </w:r>
    </w:p>
    <w:p>
      <w:r>
        <w:t>INDEMNITÉ{EN GÉNÉRAL}, AVOCAT D'OFFICE, PROCÉDURE ÉCRITE, FRAIS DE LA PROCÉDURE | 429 al. 1 let. a CPP (CH)</w:t>
      </w:r>
    </w:p>
    <w:p>
      <w:pPr>
        <w:pStyle w:val="Heading2"/>
      </w:pPr>
      <w:r>
        <w:t>Erwägungen</w:t>
      </w:r>
    </w:p>
    <w:p>
      <w:r>
        <w:rPr>
          <w:b/>
        </w:rPr>
        <w:t>E. 1</w:t>
      </w:r>
    </w:p>
    <w:p>
      <w:r>
        <w:t>Interjeté dans les formes et délais légaux (art. 399 CPP [Code de procédure pénale suisse du 5 octobre 2007 ; RS 312.0]), par une partie ayant la qualité pour recourir (art. 382 al. 1 CPP), contre le jugement d'un tribunal de première instance ayant clos la procédure (art. 398 al. 1 CPP), l'appel du Ministère public de l’arrondissement de La Côte est recevable.</w:t>
      </w:r>
    </w:p>
    <w:p>
      <w:r>
        <w:rPr>
          <w:b/>
        </w:rPr>
        <w:t>E. 2</w:t>
      </w:r>
    </w:p>
    <w:p>
      <w:r>
        <w:t>Ne portant que sur la question des frais et des indemnités, l’appel relève de la procédure écrite (art. 406 al. 1 let. d CPP).</w:t>
      </w:r>
    </w:p>
    <w:p>
      <w:r>
        <w:rPr>
          <w:b/>
        </w:rPr>
        <w:t>E. 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4</w:t>
      </w:r>
    </w:p>
    <w:p>
      <w:r>
        <w:t>n'ont pas été considérés comme avérés et n'ont pas non plus été retenus (jgt, p. 33). Il ne restait donc que le séjour illégal au sens de l'art. 115 al. 1 let. b LEI du cas 2 (jgt, p. 31) et la conduite sans autorisation au sens de l'art. 95 al. 1 let. a LCR du cas 5 (jgt, p. 34), imputables à M.________. S'agissant des frais de procédure (jgt, pp. 35-36), le tribunal a considéré que M.________ devait en supporter une partie dès lors que les faits auraient pu être jugés par voie d'ordonnance pénale. Celui-ci devait donc prendre en charge les frais d'enquête par 237 fr. 50, le coût d'une audience de police de moins d'une heure par 400 fr. et l'indemnité allouée à son premier défenseur d'office par 3'726 fr. 95, soit au total 4'364 fr. 45. En ce qui concerne J.________, le tribunal n'a pas retenu de comportement illicite susceptible de lui faire supporter une partie des frais de procédure. Quant aux autres prévenus, vu qu'il avait été impossible de déterminer leur responsabilité respective dans l'altercation du 13 décembre 2015, les frais de procédure les concernant devaient être laissés à la charge de l'Etat.</w:t>
      </w:r>
    </w:p>
    <w:p>
      <w:r>
        <w:rPr>
          <w:b/>
        </w:rPr>
        <w:t>E. 5.1</w:t>
      </w:r>
    </w:p>
    <w:p>
      <w:r>
        <w:t>Le Ministère public expose que l'affaire a coûté plus 32'000 fr. à l'Etat, que plusieurs audiences de conciliation ont été tenues sans succès et que ce sont les protagonistes de l'affaire, à cause de leurs agissements stupides, qui devraient payer les frais de procédure.</w:t>
      </w:r>
    </w:p>
    <w:p>
      <w:r>
        <w:rPr>
          <w:b/>
        </w:rPr>
        <w:t>E. 5.2.1</w:t>
      </w:r>
    </w:p>
    <w:p>
      <w:r>
        <w:t>Le sort des frais de procédure à l'issue de celle-ci est régi par les art. 422 ss CPP. En principe, ils sont mis à la charge de la Confédération ou du canton qui a conduit la procédure, les dispositions contraires du CPP étant réservées (art. 423 al. 1 CPP). Le prévenu supporte les frais de procédure s'il est condamné (art. 426 al. 1, 1 re phrase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références citées). L'art. 426 al. 2 CPP définit une « Kannvorschrift », en ce sens que le juge n'a pas l'obligation de faire supporter tout ou partie des frais au prévenu libéré des fins de la poursuite pénale, même si les conditions d'une imputation sont réalisées (TF 6B_343/2018 du 25 avril 2019 consid. 2.3 ; TF 6B_925/2018 du 7 mars 2019 consid. 1.3 ; TF 6B_290/2018 du 19 février 2019 consid. 3.1). Le juge ne peut se fonder que sur des faits non contestés ou clairement établis (TF 6B_734/2019 du 25 octobre 2019 consid. 2.4 ; TF 6B_1334/2018 du 20 mai 2019 consid. 1.1.2).</w:t>
      </w:r>
    </w:p>
    <w:p>
      <w:r>
        <w:rPr>
          <w:b/>
        </w:rPr>
        <w:t>E. 5.2.2</w:t>
      </w:r>
    </w:p>
    <w:p>
      <w:r>
        <w:t>Selon l'art. 429 al. 1 let. a CPP, si le prévenu est acquitté totalement ou en partie ou s'il bénéficie d'une ordonnance de classement, il a droit à une indemnité pour les dépenses occasionnées par l'exercice raisonnable de ses droits de procédure. L'art. 430 al. 1 let. a CPP permet à l'autorité pénale de réduire ou refuser l'indemnité prévue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 ATF 145 IV 268 consid. 1.2 ; TF 6B_565/2019 du 12 juin 2019 consid. 5.1). Dans cette mesure, la décision sur les frais préjuge de la question de l'indemnisation ( ATF 145 IV 268 consid. 1.2 ; ATF 137 IV 352 consid. 2.4.2 ; TF 6B_666/2019 du 4 septembre 2019 consid. 2.1).</w:t>
      </w:r>
    </w:p>
    <w:p>
      <w:r>
        <w:rPr>
          <w:b/>
        </w:rPr>
        <w:t>E. 5.3</w:t>
      </w:r>
    </w:p>
    <w:p>
      <w:r>
        <w:t>Pour le cas 1, le Ministère public expose que J.________ a été mise en cause par plusieurs protagonistes. Or le tribunal a précisé qu'il n'avait pas été en mesure d'établir les faits à satisfaction, ce qui implique qu'on ne peut pas prendre en compte les déclarations de ces personnes afin de déterminer si J.________ a adopté un comportement fautif et contraire à une règle juridique. Le Ministère public allègue ensuite que, au cours de son audition du 18 novembre 2016, J.________ a admis avoir injurié D.________ et E.________, ainsi qu'avoir tiré les cheveux de cette dernière au point qu'elles étaient toutes deux tombées au sol. Cela n'est pas tout à fait exact, puisque J.________ a expliqué qu'elle avait pris E.________ par les cheveux, mais après que celle-ci lui avait donné une claque, qu'elle n'avait fait que répondre aux insultes d'E.________ et son époux par des insultes et que toutes deux étaient tombées au sol parce qu'elles s'étaient agrippées l'une à l'autre (PV aud. 3, lignes 66-69). On ne peut donc pas considérer que J.________ a eu un comportement civilement répréhensible ayant provoqué l'ouverture de l'enquête pénale comme le soutient l'appelant. Le Ministère public soutient encore que N.________ a admis qu'elle avait griffé D.________. Or il omet de préciser que N.________ a dit qu'elle l'avait fait pour se défendre car D.________ lui avait donné un coup de poing sur le front et la bouche (PV aud. 5, lignes 40-42), ce qui ne constitue pas non plus une attitude civilement répréhensible. Pour le cas 3, la démonstration du jugement selon laquelle il y a trop de contradictions pour retenir un état de fait fiable ne peut qu'être confirmée (jgt, pp. 32-33). Le grief du Ministère public selon lequel D.________ a mis en cause le clan de J.________ dans sa plainte du 18 mars 2016, après avoir refusé dans un premier temps de donner le nom de la personne qui l'avait frappé, est par conséquent sans portée. Pour le cas 4, le Ministère public reproche à D.________ d'avoir dénoncé calomnieusement J.________ pour avoir conduit sans permis le 17 janvier 2016, car un témoin a confirmé qu'il était allé chercher J.________ sur le lieu de l'altercation le soir des faits. Le tribunal a retenu qu'il subsistait un doute sur la question de savoir si J.________ avait conduit un véhicule automobile avec son permis [...] plus d'un an avant d'obtenir le permis de conduire suisse le 12 août 2016. Or l'acte d'accusation ne fait pas spécifiquement grief à J.________ d'avoir conduit le 17 janvier 2016, mais mentionne la période plus longue du 4 février 2015 au 20 mars 2016, couverte par un doute. On ne peut donc pas reprocher avec certitude à D.________ d'avoir incriminé faussement J.________ au point de justifier que des frais judiciaires soient mis à sa charge par le biais d'une action récursoire, à supposer que ce procédé puisse intervenir dans le cadre de la procédure d'appel. Par ailleurs, on ne comprend pas le Ministère public lorsqu'il affirme qu'il est « clair que selon le journal des événements de la police, l'auteur du coup n'a pas frappé D.________ avec le verre qu'il avait dans la main » pour le cas 3 (appel, p. 6), alors qu'il est pourtant indiqué dans l'acte d'accusation que l'auteur du coup « a frappé D.________ au crâne avec un verre en verre ». En résumé de ce qui précède, dès lors que l'état de fait ne peut être établi ni pour le cas 1 ni pour le cas 3 et qu'il subsiste un doute pour le cas 4, les frais de procédure ne peuvent pas être mis à la charge de l'une ou l'autre des parties. Les griefs de l'appelant sur ces points sont infondés.</w:t>
      </w:r>
    </w:p>
    <w:p>
      <w:r>
        <w:rPr>
          <w:b/>
        </w:rPr>
        <w:t>E. 6</w:t>
      </w:r>
    </w:p>
    <w:p>
      <w:r>
        <w:t>Le Ministère public soutient que le premier juge ne pouvait pas allouer une indemnité au sens de l'art. 429 al. 1 let. a CPP à J.________, puisque celle-ci est pourvue d'un défenseur d'office. Il est constant que Me José Coret a été désigné défenseur d'office de J.________ avec effet au 17 juillet 2017, de sorte que cette dernière ne peut se voir allouer une indemnité à forme de l'art. 429 al. 1 let. a CPP pour la période postérieure. Me Coret a produit deux listes d'opérations datées des 26 mars 2019 et 25 juin 2019, la première indiquant 19,8 h d'activité pour la période du 2 août 2017 au 26 mars 2019 et la seconde indiquant 6,7 h d'activité pour la période du 27 mars au 26 juin 2019. Comme le relève opportunément le Ministère public, la première note d'honoraires mentionne une heure pour les opérations postérieures au jugement, tandis que la seconde retrace les opérations postérieures au jugement qui ont effectivement été accomplies. Cette heure doit donc être retranchée. Au total, il sera retenu 25,5 h d'activité au tarif horaire de 180 fr. (art. 2 al. 1 let. a et 3 al. 1 RAJ [règlement sur l'assistance judiciaire en matière civile du 7 décembre 2010 ; BLV 211.02.3] applicables par renvoi de l'art. 26b TFIP [Tarif des frais de procédure et indemnités en matière pénale du 28 septembre 2010 ; BLV 312.03.1]), soit 4'590 fr., plus trois vacations, soit 360 fr. (art. 3bis al. 3 RAJ applicable par renvoi de l'art. 26a al. 6 TFIP), plus 5 % pour les débours (art. 3bis al. 1 RAJ applicable par renvoi de l'art. 26b TFIP), soit 247 fr. 50, de sorte que l'indemnité totale s'élève à 5'597 fr. 70, TVA par 7,7 % incluse. Dans ses déterminations du 6 novembre 2019, J.________ conclut à l'octroi d'une indemnité de 1'502 fr. 90 au sens de l'art. 429 al. 1 let. a CPP pour les opérations antérieures à la désignation de son défenseur d'office, respectivement pour la période du 9 novembre 2016 au 16 juillet 2017. Elle n'avait cependant pas conclu à une telle indemnité aux débats de première instance, se limitant à plaider que les frais soient mis à la charge de l'Etat (PV aud. jgt, p. 26). Elle n'a du reste pas produit de liste d'opérations pour cette période antérieure. Comme elle n'a pas formé appel, J.________ ne peut pas réclamer une indemnité de l'art. 429 CPP pour la période antérieure à la désignation de son défenseur d'office, alors qu'une telle indemnité ne lui a été allouée pour la période ultérieure qu'en raison d'une inadvertance du premier juge.</w:t>
      </w:r>
    </w:p>
    <w:p>
      <w:r>
        <w:rPr>
          <w:b/>
        </w:rPr>
        <w:t>E. 7</w:t>
      </w:r>
    </w:p>
    <w:p>
      <w:r>
        <w:t>Le Ministère public souhaite également que soit retranchée des opérations à indemniser l'activité déployée par les défenseurs d'office de J.________ et de M.________ durant la période où la procédure a été suspendue. Comme le relève ces derniers dans leurs déterminations (P. 105/1, p. 4 ; P. 106/1, pp. 10-11), on ne voit cependant pas pourquoi l'activité des avocats liée à une résolution hors procès d'un litige pénal pendant devant l'autorité judiciaire – qui permet du reste de limiter précisément les frais judiciaires – devrait être soustraite de l'indemnisation. L'activité a été effective, ce que l'appelant ne conteste par ailleurs pas, et elle s'inscrit dans le cadre du mandat de défense qui a été confié. Il n'y a donc pas lieu de retrancher l'activité déployée dans le cadre de la tentative de médiation extra-judiciaire qui a eu lieu après l'audience du 28 mai 2018.</w:t>
      </w:r>
    </w:p>
    <w:p>
      <w:r>
        <w:rPr>
          <w:b/>
        </w:rPr>
        <w:t>E. 8</w:t>
      </w:r>
    </w:p>
    <w:p>
      <w:r>
        <w:t>En définitive, l'appel du Ministère public doit être partiellement admis et le jugement entrepris modifié au chiffre VIII de son dispositif en ce sens que l'indemnité allouée au défenseur d'office de J.________ est fixée à 5'597 fr. 70, débours, vacations et TVA compris, et est laissée à la charge de l'Etat. Me Charles Munoz, conseil juridique gratuit de D.________ et E.________, a droit à une indemnité pour la procédure d'appel. La liste des opérations produite est admise. Il sera ainsi retenu 4,5 h d'activité au tarif horaire de 180 fr., soit 810 fr., plus 2 % pour les débours (art. 3bis al. 1 RAJ applicable par renvoi de l'art. 26b TFIP), soit 16 fr. 20, de sorte que l'indemnité totale s'élève à 889 fr. 80, TVA par 7,7 % incluse. Me Olivier Bastian, défenseur d'office de K.________ et M.________, a droit à une indemnité pour la procédure d'appel. La liste des opérations produite est admise. Il sera ainsi retenu 5,9 h d'activité au tarif horaire de 180 fr., soit 1'062 fr., plus 2 % pour les débours, soit 21 fr. 25, de sorte que l'indemnité totale s'élève à 1'166 fr. 65, TVA par 7,7 % incluse. Me Elisabeth Chappuis, défenseur d'office de N.________ et L.________, a droit à une indemnité pour la procédure d'appel. La liste des opérations produite est admise. Il sera ainsi retenu 5,5 h d'activité au tarif horaire de 180 fr., soit 990 fr., plus 2 % pour les débours, soit 19 fr. 80, de sorte que l'indemnité totale s'élève à 1'087 fr. 55, TVA par 7,7 % incluse. Me José Coret, défenseur d'office de J.________, a droit à une indemnité pour la procédure d'appel. La liste des opérations produite est admise. Il sera ainsi retenu 4,8 h d'activité au tarif horaire de 180 fr., soit 864 fr., plus 2 % pour les débours, soit 17 fr. 30, de sorte que l'indemnité totale s'élève à 949 fr. 15, TVA par 7,7 % incluse. Le Ministère public obtient partiellement gain de cause concernant J.________. Dès lors que cette dernière a conclu au rejet complet de l'appel, elle succombe par moitié. Les frais de la procédure d’appel, constitués de l'émolument de jugement (art. 422 al. 1 CPP), par 1'650 fr. (art. 21 al. 1 TFIP), seront par conséquent mis à sa charge par 1/8 e (art. 428 al. 1 CPP), le solde étant laissé à la charge de l'Etat. J.________ sera tenue de rembourser à l'Etat la moitié de l'indemnité en faveur de son défenseur d'office dès que sa situation financière le permettra (art. 135 al. 4 let. a CPP). Les indemnités des défenseurs d'office Charles Munoz, Olivier Bastian et Elisabeth Chappuis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