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92 vom 4. Oktober 2019</w:t>
      </w:r>
    </w:p>
    <w:p>
      <w:r>
        <w:t>VD Tribunal cantonal, 2019-10-04, FR</w:t>
      </w:r>
    </w:p>
    <w:p>
      <w:r>
        <w:rPr>
          <w:b/>
        </w:rPr>
        <w:t xml:space="preserve">Quelle: </w:t>
      </w:r>
      <w:r>
        <w:t>https://mcp.opencaselaw.ch/entscheid/vd_findinfo_Jug___2020___92</w:t>
      </w:r>
    </w:p>
    <w:p>
      <w:r>
        <w:t>FR: VD_FINDINFO Jug / 2020 / 92 du 4 octobre 2019</w:t>
      </w:r>
    </w:p>
    <w:p>
      <w:r>
        <w:t>IT: VD_FINDINFO Jug / 2020 / 92 del 4 ottobre 2019</w:t>
      </w:r>
    </w:p>
    <w:p>
      <w:pPr>
        <w:pStyle w:val="Heading2"/>
      </w:pPr>
      <w:r>
        <w:t>Regeste</w:t>
      </w:r>
    </w:p>
    <w:p>
      <w:r>
        <w:t>CIRCULATION ROUTIÈRE{DROIT DE LA CIRCULATION ROUTIÈRE}, VIOLATION DES RÈGLES DE LA CIRCULATION, DISTANCE ENTRE VÉHICULES, CONSTATATION DES FAITS, POLICE, SURSIS À L'EXÉCUTION DE LA PEINE, PEINE PÉCUNIAIRE | 34 CP, 42 al. 1 CP, 34 al. 4 LCR, 90 al. 1 LCR, 90 al. 2 LCR, 12 al. 1 OCR, 96 OCR</w:t>
      </w:r>
    </w:p>
    <w:p>
      <w:pPr>
        <w:pStyle w:val="Heading2"/>
      </w:pPr>
      <w:r>
        <w:t>Erwägungen</w:t>
      </w:r>
    </w:p>
    <w:p>
      <w:r>
        <w:rPr>
          <w:b/>
        </w:rPr>
        <w:t>E. 1</w:t>
      </w:r>
    </w:p>
    <w:p>
      <w:r>
        <w:t>Interjeté dans les formes et délais légaux par le prévenu ayant la qualité pour recourir contre le jugement du tribunal de première instance qui a clos la procédure (art. 398 al. 1 CPP [Code de procédure pénale suisse du 5 octobre 2007 ; RS 312.0]), l’appel formé par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w:t>
      </w:r>
    </w:p>
    <w:p>
      <w:r>
        <w:rPr>
          <w:b/>
        </w:rPr>
        <w:t>E. 3.1</w:t>
      </w:r>
    </w:p>
    <w:p>
      <w:r>
        <w:t>L’appelant se plaint d’une constatation erronée et incomplète des faits consacrant une violation du principe de la présomption d’innocence. Il soutient à cet égard que le Tribunal de police n’aurait pas dû préférer la version des gendarmes à la sienne.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2019, 2 e éd., n. 19 ad art. 398 CPP).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Si le principe de la libre appréciation des preuves interdit d’attribuer d’entrée de cause une force probante accrue à certains moyens de preuve, comme par exemple des rapports de police (TF 6B_55/2018 du 17 mai 2018 consid. 1.1 ; TF 6B_146/2016 du 22 août 2016 consid. 4.1 ; TF 6B_353/2015 du 14 décembre 2015 consid. 2), on ne saurait cependant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retranscrites (TF 6B_55/2018 précité consid. 1.1 ; TF 6B_753/2016 du 24 mars 2017 consid. 1.2 ; TF 6B_750/2010 du 5 mai 2011 consid. 2.2).</w:t>
      </w:r>
    </w:p>
    <w:p>
      <w:r>
        <w:rPr>
          <w:b/>
        </w:rPr>
        <w:t>E. 3.3</w:t>
      </w:r>
    </w:p>
    <w:p>
      <w:r>
        <w:t>L’appelant rappelle tout d’abord avoir spontanément admis avoir roulé trop vite. Cet aveu le rendrait crédible lorsqu’il conteste n’avoir pas respecté les distances de sécurité par rapport aux véhicules qui le précédaient. Cet argument n’emporte pas la conviction, puisqu’un aveu partiel est tout à fait possible. L’appelant fait également valoir que les gendarmes auraient omis certains faits dans leur rapport, en particulier le fait d’avoir appelé le lieutenant-colonel [...]. Cet argument n’est pas non plus de nature à diminuer la crédibilité du rapport de police, puisque ce qui compte, ce sont les faits fondant l’incrimination pénale. A cet égard, l’appelant ne prétend pas que le rapport serait incomplet. L’appelant fait encore remarquer que le rapport de police porte la date du 30 décembre 2018 pour des faits s’étant produits 18 jours plus tôt, durée durant laquelle les souvenirs des gendarmes auraient pu être altérés. L’appelant perd de vue qu’il a été entendu immédiatement après les faits ; lors de cette audition, les gendarmes lui ont expliqué les raisons pour lesquelles ils l’avaient arrêté, notamment pour les talonnages répétés. Le constat rédigé ultérieurement par les gendarmes ne s’écarte pas des griefs qui ont justifié l’interpellation de l’appelant que l’on retrouve dans le procès-verbal de son audition du 12 décembre 2018 (P. 4, p. 4). S’ajoute à cela que les faits sont simples et donc guère susceptibles d’évolution due à une altération de la mémoire. Le grief est donc vain. Enfin, l’appelant s’étonne du fait que les gendarmes n’ont pas relevé les numéros des plaques d’immatriculation des autres véhicules. On ne voit pas pour quelles raisons ils auraient dû le faire. L’appelant ne soutient pas que les autres usagers circulaient dangereusement, de sorte que le reproche est sans pertinence. Quoi qu’il en soit, il n’existe pas d’égalité dans l’illégalité. Au vu des éléments qui précèdent, on ne constate aucune violation de l’art. 10 al. 3 CPP.</w:t>
      </w:r>
    </w:p>
    <w:p>
      <w:r>
        <w:rPr>
          <w:b/>
        </w:rPr>
        <w:t>E. 4</w:t>
      </w:r>
    </w:p>
    <w:p>
      <w:r>
        <w:t>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6B_92/2015 du 27 mai 2015 consid. 1.3.1 ; TF 6B_1382/2017 du 28 juin 2018, consid. 3.3.2).</w:t>
      </w:r>
    </w:p>
    <w:p>
      <w:r>
        <w:rPr>
          <w:b/>
        </w:rPr>
        <w:t>E. 4.1</w:t>
      </w:r>
    </w:p>
    <w:p>
      <w:r>
        <w:t>L’appelant considère qu’il est impossible d’affirmer qu’il s’était approché des véhicules le précédant à une distance comprise entre 2 et 5 mètres. Il soutient de ce fait qu’il n’aurait pas mis sérieusement en danger la vie d’autrui, ce qui devrait conduire à sa libération de l’infraction de violation grave des règles de la circulation routière et à sa condamnation uniquement pour violation simple des règles de la circulation routière, admettant avoir par moments circulé à 140 km/h.</w:t>
      </w:r>
    </w:p>
    <w:p>
      <w:r>
        <w:rPr>
          <w:b/>
        </w:rPr>
        <w:t>E. 4.2</w:t>
      </w:r>
    </w:p>
    <w:p>
      <w:r>
        <w:t>Aux termes de l'art. 90 al. 1 LCR (loi fédérale sur la circulation routière du 19 décembre 1958 ; RS 741.01), celui qui viole les règles de la circulation prévues par la présente loi ou par les dispositions d'exécution émanant du Conseil fédéral est puni de l'amende. Conformément à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w:t>
      </w:r>
    </w:p>
    <w:p>
      <w:r>
        <w:rPr>
          <w:b/>
        </w:rPr>
        <w:t>E. 4.3</w:t>
      </w:r>
    </w:p>
    <w:p>
      <w:r>
        <w:t>En l’espèce, le moyen soulevé par l’appelant relève d’un problème factuel et non pas d’une prétendue violation du droit, puisqu’il s’agit de définir si l’appelant a respecté une distance suffisante entre son véhicule et ceux qui le précédaient, ce dont dépend la qualification légale. Il ressort de l’observation policière que l’appelant a, à plusieurs reprises, « talonné » les véhicules qui le précédaient, alors qu’il roulait à une vitesse de l’ordre de 120 km/h. Il n’y a aucune raison de mettre en doute la parole de deux gendarmes qui étaient idéalement placés pour constater l’infraction. En effet, le témoin entendu aux débats de première instance a indiqué que leur véhicule de police banalisé n’était pas resté juste derrière celui du prévenu, mais qu’il s’était déplacé sur la voie de droite, ce qui permettait aux gendarmes d’avoir une vue adéquate sur les véhicules en cause (jugement, pp 5 et 11). Lorsqu’un véhicule circule à 120 km/h, il parcourt une distance de 33,33 mètres en une seconde, ce qui implique qu’il faut 1,5 dixième de seconde pour parcourir 5 mètres. Selon les gendarmes, la distance qui séparait le véhicule du prévenu des autres véhicules oscillait entre 2 et 5 mètres, ce qui implique que l’intervalle entre les véhicules était clairement inférieur à 0,6 seconde, laps de temps à l’évidence beaucoup trop court pour permettre au prévenu de réagir en cas de freinage brusque de celui qui le précède. Par ailleurs, la situation s’est produite à plusieurs reprises sur le tronçon analysé, soit depuis la jonction de Bex jusqu’à son interpellation à la jonction autoroutière de Villeneuve, ce qui implique que le comportement incriminé s’est produit sur plusieurs centaines de mètres. Face à une répétition dans le comportement reproché et une conduite dite agressive, selon les termes employés par le gendarme entendu comme témoin (jugement, p. 5), force est de constater que la faute est grave. Subjectivement, les talonnages étaient intentionnels et l’appelant a créé un sérieux danger pour la sécurité d’autrui. Peu importe à cet égard que les conditions de la route étaient favorables. L’appelant, par son défenseur, a plaidé le fait que tout le monde conduirait de cette manière et que ce serait parfaitement normal de ne pas respecter les distances de sécurité. Cette assertion ne peut être que rejetée. Ce comportement dangereux ne peut pas être toléré, de sorte que la condamnation de l’appelant pour infraction grave des règles de la circulation routière doit être confirmée.</w:t>
      </w:r>
    </w:p>
    <w:p>
      <w:r>
        <w:rPr>
          <w:b/>
        </w:rPr>
        <w:t>E. 5.1</w:t>
      </w:r>
    </w:p>
    <w:p>
      <w:r>
        <w:t>L’appelant considère que le montant du jour-amende est trop élevé. Il conclut, à titre très subsidiaire, à sa condamnation à une peine pécuniaire de 30 jours-amende à 30 fr. le jour.</w:t>
      </w:r>
    </w:p>
    <w:p>
      <w:r>
        <w:rPr>
          <w:b/>
        </w:rPr>
        <w:t>E. 5.2</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(Dupuis et al. [éd.], Petit commentaire, Code pénal, 2 e éd., Bâle 2017, n. 18 ad art. 34 CP et les références citées).</w:t>
      </w:r>
    </w:p>
    <w:p>
      <w:r>
        <w:rPr>
          <w:b/>
        </w:rPr>
        <w:t>E. 5.3</w:t>
      </w:r>
    </w:p>
    <w:p>
      <w:r>
        <w:t>En l’espèce, l’appelant a indiqué lors de l’audience d’appel qu’il touchait un revenu de l’ordre de 5'550 fr., comme l’en atteste la pièce qu’il a produite aux débats (P. 25). Les seules charges à laquelle il doit faire face sont une prime d’assurance-maladie de 180 fr. par mois, des impôts de 500 fr. par mois et un montant de 600 fr. par mois qu’il indique verser à son père pour le logement et la nourriture. Il reste donc un solde de 4'270 fr. par mois, dont on peut encore déduire 600 fr. (minimum vital de 1'200 fr. – 600 fr.) pour ses autres charges incompressibles qui ne sont pas déjà inclues dans le forfait qu’il dit verser à son père. Le disponible est de 3'670 francs. Si l’on divise ce montant par 30, on arrive à 122 fr. par jour. On peut donc confirmer le montant retenu par le premier juge, à savoir une peine pécuniaire de 120 fr. par jour.</w:t>
      </w:r>
    </w:p>
    <w:p>
      <w:r>
        <w:rPr>
          <w:b/>
        </w:rPr>
        <w:t>E. 6.1</w:t>
      </w:r>
    </w:p>
    <w:p>
      <w:r>
        <w:t>L’appelant revendique l’octroi du sursis à l’exécution de la peine pécuniaire, avec un délai d’épreuve de 3 ans.</w:t>
      </w:r>
    </w:p>
    <w:p>
      <w:r>
        <w:rPr>
          <w:b/>
        </w:rPr>
        <w:t>E. 6.2</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6.3</w:t>
      </w:r>
    </w:p>
    <w:p>
      <w:r>
        <w:t>En l’espèce, l’appelant se trouve en récidive spéciale, vu sa condamnation datant du 21 juin 2018 pour une incapacité de conduire notamment. Pour cette infraction, l’appelant s’est vu retiré son permis de conduire pour une durée de trois mois. On constate ainsi que les mesures administratives et les ennuis professionnels liés à sa précédente condamnation n’ont eu aucun effet, puisque l’appelant a récidivé seulement six mois après. Venir soutenir en audience d’appel que son comportement sur la route serait « normal » et que tout le monde conduirait de cette manière permet de retenir une absence de prise de conscience chez l’appelant. Le pronostic est défavorable. Il y a donc lieu de refuser à l’appelant l’octroi du sursis.</w:t>
      </w:r>
    </w:p>
    <w:p>
      <w:r>
        <w:rPr>
          <w:b/>
        </w:rPr>
        <w:t>E. 7</w:t>
      </w:r>
    </w:p>
    <w:p>
      <w:r>
        <w:t>Au vu de ce qui précède, l’appel doit être rejeté et le jugement entrepris intégralement confirmé. Vu l’issue de la cause, les frais de la procédure d’appel, constitués de l’émolument de jugement et d’audience, par 1’830 fr. (art. 21 al. 1 et 2 TFIP), doivent être mis à la charge de l’appelant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