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79 vom 20. September 2018</w:t>
      </w:r>
    </w:p>
    <w:p>
      <w:r>
        <w:t>VD Tribunal cantonal, 2018-09-20, FR</w:t>
      </w:r>
    </w:p>
    <w:p>
      <w:r>
        <w:rPr>
          <w:b/>
        </w:rPr>
        <w:t xml:space="preserve">Quelle: </w:t>
      </w:r>
      <w:r>
        <w:t>https://mcp.opencaselaw.ch/entscheid/vd_findinfo_Jug___2020___79</w:t>
      </w:r>
    </w:p>
    <w:p>
      <w:r>
        <w:t>FR: VD_FINDINFO Jug / 2020 / 79 du 20 septembre 2018</w:t>
      </w:r>
    </w:p>
    <w:p>
      <w:r>
        <w:t>IT: VD_FINDINFO Jug / 2020 / 79 del 20 settembre 2018</w:t>
      </w:r>
    </w:p>
    <w:p>
      <w:pPr>
        <w:pStyle w:val="Heading2"/>
      </w:pPr>
      <w:r>
        <w:t>Regeste</w:t>
      </w:r>
    </w:p>
    <w:p>
      <w:r>
        <w:t>RÉVISION{DÉCISION}, DÉCISION D'IRRECEVABILITÉ | 410 al. 1 let. a CPP (CH), 411 CPP (CH), 412 al. 2 CPP (CH)</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 e phrase,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6B_426/2018 du 5 juillet 2018 consid. 3.2).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rPr>
          <w:b/>
        </w:rPr>
        <w:t>E. 2</w:t>
      </w:r>
    </w:p>
    <w:p>
      <w:r>
        <w:t>En l’espèce, C.________ se prévaut du fait que depuis le jugement rendu dans la cause PE14.004839, ordonnant notamment son expulsion, son fils serait revenu en Suisse pour poursuivre ses études et vivre auprès de lui et qu’il serait en contact avec la mère de celui-ci pour organiser une garde partagée. Il demande ainsi que la décision d’expulsion soit réexaminée à l’aune de ce changement de situation. Cela étant, le fait invoqué par le requérant, entièrement postérieur à l’entrée en force du jugement, ne saurait entrer en ligne de compte comme un motif recevable de révision. C.________ n’invoque par ailleurs aucun autre fait ni moyen de preuve nouveau et sérieux pouvant rendre vraisemblable l’existence d’un tel motif.</w:t>
      </w:r>
    </w:p>
    <w:p>
      <w:r>
        <w:rPr>
          <w:b/>
        </w:rPr>
        <w:t>E. 3</w:t>
      </w:r>
    </w:p>
    <w:p>
      <w:r>
        <w:t>Il résulte de ce qui précède que la demande de révision, qui apparaît d’emblée manifestement mal fondée, doit être déclarée irrecevable, sans autre échange d’écritures (art. 412 al. 2 et 3 CPP). Les frais de la procédure de révision, par 550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