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53 vom 8. Oktober 2019</w:t>
      </w:r>
    </w:p>
    <w:p>
      <w:r>
        <w:t>VD Tribunal cantonal, 2019-10-08, FR</w:t>
      </w:r>
    </w:p>
    <w:p>
      <w:r>
        <w:rPr>
          <w:b/>
        </w:rPr>
        <w:t xml:space="preserve">Quelle: </w:t>
      </w:r>
      <w:r>
        <w:t>https://mcp.opencaselaw.ch/entscheid/vd_findinfo_Jug___2020___53</w:t>
      </w:r>
    </w:p>
    <w:p>
      <w:r>
        <w:t>FR: VD_FINDINFO Jug / 2020 / 53 du 8 octobre 2019</w:t>
      </w:r>
    </w:p>
    <w:p>
      <w:r>
        <w:t>IT: VD_FINDINFO Jug / 2020 / 53 del 8 ottobre 2019</w:t>
      </w:r>
    </w:p>
    <w:p>
      <w:pPr>
        <w:pStyle w:val="Heading2"/>
      </w:pPr>
      <w:r>
        <w:t>Regeste</w:t>
      </w:r>
    </w:p>
    <w:p>
      <w:r>
        <w:t>COMMERCE DE STUPÉFIANTS, CAS GRAVE, CONTRAVENTION, LOI FÉDÉRALE SUR LES ARMES, LES ACCESSOIRES D'ARMES ET LES MUNITIONS, FIXATION DE LA PEINE, PEINE D'ENSEMBLE, PEINE COMPLÉMENTAIRE, RÉVOCATION DU SURSIS, EXPERTISE PSYCHIATRIQUE, EXPULSION{DROIT PÉNAL}, ADMINISTRATION DES PREUVES, CONCOURS D'INFRACTIONS, IN DUBIO PRO REO | 20 CP, 46 al. 1 CP, 47 CP, 49 al. 1 CP, 49 al. 2 CP, 66a CP, 34 al. 1 let. b LArm, 5 al. 4 LArm, 19a ch. 2 LStup, 10 CPP (CH), 389 CPP (CH), 429 al. 1 let. c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X.________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 sur la notion d'arbitraire, cf. ATF 142 II 355 consid. 6 ; TF 6B_999/2019 précité).</w:t>
      </w:r>
    </w:p>
    <w:p>
      <w:r>
        <w:rPr>
          <w:b/>
        </w:rPr>
        <w:t>E. 3.1</w:t>
      </w:r>
    </w:p>
    <w:p>
      <w:r>
        <w:t>Dans un premier grief, invoquant des violations des art. 6 CEDH (Convention de sauvegarde des droits de l’homme et des libertés fondamentales du 4 novembre 1950 ; RS 0.101), 9 et 32 Cst., 107 et 195 CPP, ainsi que 20 CP (Code pénal suisse du 21 décembre 1937 ; RS 311.0), l’appelant reproche aux premiers juges de ne pas avoir tenu compte de « sa dépendance morbide à la cocaïne ». Il fait valoir que les témoignages qui auraient mis en évidence sa toxicodépendance auraient été écartés de manière arbitraire par les premiers juges, qui auraient refusé à tort d’ordonner une expertise psychiatrique. Il soutient ainsi que, dans ces circonstances, il n’aurait pas eu droit à un procès équitable et aurait été privé de ses moyens de défense.</w:t>
      </w:r>
    </w:p>
    <w:p>
      <w:r>
        <w:rPr>
          <w:b/>
        </w:rPr>
        <w:t>E. 3.2</w:t>
      </w:r>
    </w:p>
    <w:p>
      <w:r>
        <w:t>En vertu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(TF 6B_727/2019 du 27 septembre 2019 consid. 2.2 ; TF 6B_352/2014 du 22 mai 2015 consid. 5.1 non publié aux ATF 141 IV 273 ; ATF 133 IV 145 consid. 3.3).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TF 6B_727/2019 précité; TF 6B_1222/2018 du 3 mai 2019 consid. 2.2).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décrites ci-dessus lors de l’accomplissement de l’acte reproché (TF 6B_1222/2018 précité ; TF 6B_987/2017 du 12 février 2018 consid. 1.1 ; TF 6B_418/2009 du 21 octobre 2009 consid. 1.2.2).</w:t>
      </w:r>
    </w:p>
    <w:p>
      <w:r>
        <w:rPr>
          <w:b/>
        </w:rPr>
        <w:t>E. 3.3</w:t>
      </w:r>
    </w:p>
    <w:p>
      <w:r>
        <w:t>Les premiers juges ont motivé en pages 3 et 4 de leur jugement leur refus d’ordonner une expertise psychiatrique. Ce faisant, contrairement à ce que soutient l’appelant, ils ont donc statué sur sa requête en rendant une décision motivée, de sorte que la Cour de céans ne discerne aucune violation procédurale. Pour rejeter la requête de l’appelant, les premiers juges se sont fondés sur les propres déclarations de celui-ci, selon lesquelles il avait consommé de la cocaïne à une vingtaine de reprises sur une période de trois ans, et ont considéré que cette faible consommation ne pouvait pas avoir d’influence sur sa responsabilité pénale. Les premiers juges ont en outre, dans le jugement entrepris (p. 24), écarté les déclarations d’W.________, selon lesquelles le prévenu aurait été un très gros consommateur de cocaïne, au motif que ce témoin était impliqué dans les faits délictueux et qu’il entretenait un lien d’amitié avec le prévenu. Au moment d’examiner la culpabilité et les circonstances à la décharge du prévenu, les premiers juges ont écarté l’existence d’une toxicodépendance. A cet égard, ils ont relevé que les tests urinaires effectués sur le prévenu étaient négatifs, que celui-ci n’avait manifesté aucun problème de santé qui aurait pu être mis en relation avec une interruption soudaine de sa consommation de cocaïne et qu’il n’avait jamais sollicité de médicaments pour lui permettre de mieux gérer un hypothétique état de manque. Ils ont ainsi conclu qu’aucun indice ou élément probant au dossier ne permettait de penser que le prévenu serait dépendant à la cocaïne ou à un autre stupéfiant. Cette appréciation ne prête pas le flanc à la critique et doit être confirmée. En effet, il est évident que l’appelant exagère sa consommation de cocaïne dans le but de réduire sa responsabilité et, du même coup, l’importance de la sanction prononcée. Il a d’ailleurs procédé de la même manière pour tenter de réduire l’importance de son trafic et son rôle dans celui-ci (cf. considérants 2.7 et 2.8 ci-dessus). Quant à W.________ et Y.________, qui étaient les dépositaires et les vendeurs de la cocaïne fournie par le prévenu, leurs témoignages en faveur du prévenu ne suffisent pas, et loin s’en faut, pour contrebalancer les éléments objectifs mis en évidence par les premiers juges, selon lesquels le prévenu n’a présenté aucun symptôme de manque ou aucun signe de dépendance au moment de son incarcération. Les premières déclarations faites par le prévenu au sujet de sa faible consommation de drogue sont donc conformes à la vérité et ses revirements ne sont aucunement crédibles. A cet égard, il y a lieu de souligner que la « dépendance morbide » à la cocaïne dont se prévaut l’appelant n’est absolument pas compatible avec la gestion professionnelle du trafic dont il a fait preuve, X.________ ayant lui-même admis aux débats d’appel avoir été « d’une efficacité redoutable pour [son] trafic de drogue ». C’est donc en définitive à juste titre que les premiers juges n’ont pas ordonné d’expertise psychiatrique du prévenu et ont retenu une responsabilité pénale entière. L’appel doit donc être rejeté sur ce point.</w:t>
      </w:r>
    </w:p>
    <w:p>
      <w:r>
        <w:rPr>
          <w:b/>
        </w:rPr>
        <w:t>E. 3.4</w:t>
      </w:r>
    </w:p>
    <w:p>
      <w:r>
        <w:t>Pour les mêmes motifs, les mesures d’instruction requises par X.________ dans le cadre de la procédure d’appel, tendant aux auditions en qualité de témoins de A.________ et de Y.________ afin qu’ils attestent de sa toxicomanie, n’apparaissent pas nécessaires pour permettre à la Cour de céans de forger sa conviction. Les conditions de l’art. 389 al. 2 et 3 CPP n’étant pas réalisées,  les mesures d’instruction requises doivent donc être rejetées.</w:t>
      </w:r>
    </w:p>
    <w:p>
      <w:r>
        <w:rPr>
          <w:b/>
        </w:rPr>
        <w:t>E. 4.1</w:t>
      </w:r>
    </w:p>
    <w:p>
      <w:r>
        <w:t>Se plaignant d’arbitraire dans l’administration des preuves au sujet de sa toxicodépendance alléguée, l’appelant reproche aux premiers juges d’avoir interdit qu’une expertise psychiatrique fût ordonnée, d’avoir empêché que des témoins qui eussent pu confirmer sa toxicomanie fussent entendus et d’avoir écarté le témoignage d’W.________ sans raison valable. Invoquant par ailleurs une violation du principe in dubio pro reo , il fait grief aux premiers juges de ne pas avoir, dans le doute, retenu la version qui lui était la plus favorable, à savoir qu’il serait toxicodépendant.</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w:t>
      </w:r>
    </w:p>
    <w:p>
      <w:r>
        <w:rPr>
          <w:b/>
        </w:rPr>
        <w:t>E. 4.3</w:t>
      </w:r>
    </w:p>
    <w:p>
      <w:r>
        <w:t>Force est toutefois de constater, comme on l’a vu au considérant 3.3 ci-dessus, que les premiers juges ne se sont pas fondés sur des preuves inadéquates ou sans pertinence et qu’ils ont au contraire écarté cette prétendue dépendance en procédant à une saine administration des preuves, à l’issue de laquelle il ne subsistait aucun doute sérieux quant à la toxicomanie alléguée de l’appelant au moment des faits. Faute de doute, la version la plus favorable ne saurait être retenue en faveur de l’appelant, de sorte que ce grief, infondé, doit être rejeté.</w:t>
      </w:r>
    </w:p>
    <w:p>
      <w:r>
        <w:rPr>
          <w:b/>
        </w:rPr>
        <w:t>E. 5.1</w:t>
      </w:r>
    </w:p>
    <w:p>
      <w:r>
        <w:t>L’appelant invoque ensuite une violation de la LArm. Il fait grief aux premiers juges de ne pas avoir examiné s’il avait pu se croire autorisé à faire usage d’une arme à feu dans un stand de tir, ni même en quoi résidait sa faute.</w:t>
      </w:r>
    </w:p>
    <w:p>
      <w:r>
        <w:rPr>
          <w:b/>
        </w:rPr>
        <w:t>E. 5.2</w:t>
      </w:r>
    </w:p>
    <w:p>
      <w:r>
        <w:t>Aux termes de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Selon l’art. 34 al. 1 let. b LArm, est puni de l’amende quiconque fait usage sans autorisation d’une arme à feu (art. 5 al. 3 et 4). Aux termes de l’art. 5 al. 4 LArm, il est interdit de faire usage d’armes à feu dans des lieux accessibles au public en dehors des manifestations de tir autorisées officiellement et des places de tir.</w:t>
      </w:r>
    </w:p>
    <w:p>
      <w:r>
        <w:rPr>
          <w:b/>
        </w:rPr>
        <w:t>E. 5.3</w:t>
      </w:r>
    </w:p>
    <w:p>
      <w:r>
        <w:t>Il résulte des griefs formulés par l’appelant qu’il ne conteste pas les infractions à la LArm retenues aux considérants 2.3.1 et 2.3.2 ci-dessus. Celui-ci conteste uniquement sa condamnation pour avoir tiré en stand sans autorisation, soit la contravention à l’art. 34 al. 1 let. b LArm. Les premiers juges ont retenu que le prévenu avait tiré avec diverses armes dans un stand de tir, alors qu’il n’était pas titulaire des autorisations requises. Lorsqu’il a été entendu le 12 avril 2019 (PV aud. 45), le prévenu a admis avoir tiré en stand. Il a toutefois précisé ne pas avoir su qu’il n’avait pas le droit de le faire. Il convient de relever à cet égard que l’art. 5 al. 4 LArm n’interdit pas l’usage d’armes à feu dans des lieux accessibles au public tels que des places de tir. En conséquence, on ne discerne pas quelle norme aurait été enfreinte par le prévenu, celui-ci ayant au demeurant été condamné pour avoir détenu illicitement un taser et un pistolet (cf. consid. 2.3.1 et 2.3.2 supra ), si ce n’est un usage sans autorisation fondé sur l’art. 7 LArm – puisque l’appelant est de nationalité kosovare –, disposition qui n’a toutefois pas été mentionnée dans l’acte d’accusation. Il résulte de ce qui précède que le prévenu doit être libéré de la contravention à l’art. 34 al. 1 let. b LArm.</w:t>
      </w:r>
    </w:p>
    <w:p>
      <w:r>
        <w:rPr>
          <w:b/>
        </w:rPr>
        <w:t>E. 6.1</w:t>
      </w:r>
    </w:p>
    <w:p>
      <w:r>
        <w:t>L’appelant, qui conclut à son acquittement pour cause d’irresponsabilité, ne conteste pas la peine en tant que telle. Il conclut toutefois, à titre subsidiaire, à la réduction de la peine infligée par les premiers juges dans la mesure que justice dira. Dès lors qu’une responsabilité pénale entière a été retenue, ce grief est sans objet. Il se justifie toutefois d’examiner la peine d’office, l’appelant ayant de surcroît été libéré de la contravention à l’art. 34 al. 1 let. b LArm.</w:t>
      </w:r>
    </w:p>
    <w:p>
      <w:r>
        <w:rPr>
          <w:b/>
        </w:rPr>
        <w:t>E. 6.2.1</w:t>
      </w:r>
    </w:p>
    <w:p>
      <w:r>
        <w:t>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6B_594/2019 du 4 juillet 2019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ATF 120 IV 334 consid. 2a), à partir de laquelle le cas doit être considéré comme grave au sens de l'art. 19 al. 2 let. a LStup (ATF 121 IV 193 consid. 2b/aa ; TF 6B_1192/2019 du 23 janvier 2019 consid. 1.1 ; TF 6B_780/2018 du 9 octobre 2018 consid. 2.1 et les références citées).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6B_1192/2019 précité ; TF 6B_780/2018 précité ; TF 6B_807/2017 du 30 janvier 2018 consid. 2.1).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6.2.3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 TF 6B_911/2018 du 5 février 2019 consid. 1.2.2).</w:t>
      </w:r>
    </w:p>
    <w:p>
      <w:r>
        <w:rPr>
          <w:b/>
        </w:rPr>
        <w:t>E. 6.2.4</w:t>
      </w:r>
    </w:p>
    <w:p>
      <w:r>
        <w:t>Dans sa nouvelle teneur depuis le 1 er janvier 2018 – plus favorable en l’espèce au prévenu que la version en vigueur à l’époque des faits, dans la mesure où elle enjoint le juge de fixer une peine d’ensemble, en appliquant par analogie l’art. 49 CP, si la peine révoquée et la nouvelle peine sont du même genre (ATF 145 IV 1 précité consid. 1.2) –,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Lorsque seule une infraction postérieure au jugement précédent doit être sanctionnée, l'alinéa 1 er de l'art. 49 CP doit s'appliquer, conformément au texte de l'art. 46 al. 1 CP. Si, en revanche, une infraction antérieure à ce jugement doit simultanément être sanctionnée, pour autant que la sanction prononcée soit de même genre que la peine dont le sursis est révoqué, l'art. 49 al. 2 CP trouve application, à titre de lex specialis , de sorte que le prévenu dont le sursis est révoqué bénéficie également de l'art. 49 CP pour la situation particulière qui le concerne, mais non de manière excessivement avantageuse, ce qui serait le cas si le juge devait fixer une peine d'ensemble impliquant les sanctions antérieures et postérieures au jugement précédent ainsi que la peine pour laquelle le sursis est révoqué (ATF 145 IV 1 précité).</w:t>
      </w:r>
    </w:p>
    <w:p>
      <w:r>
        <w:rPr>
          <w:b/>
        </w:rPr>
        <w:t>E. 6.3.1</w:t>
      </w:r>
    </w:p>
    <w:p>
      <w:r>
        <w:t>Comme on l’a vu, c’est en vain que l’appelant plaide sa toxicomanie et, partant, son irresponsabilité totale, voire partielle au moment des faits. Ainsi, à l’instar des premiers juges, la Cour de céans retient que la culpabilité de X.________ est extrêmement lourde. En effet, à peine sorti de détention pour des faits similaires, il a non seulement réactivé son réseau, mais l’a développé et diversifié. L’appelant a mis sur pied une véritable organisation criminelle en bande, dont il était le chef, dans le seul but d’obtenir de l’argent facilement. Il a agi par cupidité et égoïsme, laissant ses comparses prendre les plus grands risques. A cet égard, il y a lieu de relever qu’il disposait de dépositaires, de vendeurs et d’un homme de main, qui officiait comme intermédiaire, chauffeur et voiture ouvreuse. Il donnait des instructions à ses collaborateurs, auxquels il a fourni des téléphones cellulaires et qu’il a rémunérés pour leurs services. Avec près de 127 clients identifiés, il a sans conteste agi au mépris de la santé d’un grand nombre de consommateurs, l’ampleur totale de son trafic n’ayant toutefois pas pu être déterminée. Cependant, compte tenu des quantités de drogue retenues, il a manifestement réalisé un chiffre d’affaires de plus de 100'000 fr. et un bénéfice dépassant les 10'000 francs. L’appelant a agi sur une période de deux ans, seule son interpellation ayant permis de mettre fin à son trafic. Il y a encore lieu de relever, à sa charge, le concours d’infractions et ses mauvais antécédents judiciaires, X.________ ayant déjà été condamné à six reprises depuis l’âge de 15 ans. A cet égard, la Cour de céans constate que, quand bien même il avait déjà fait l’objet de plusieurs condamnations, notamment pour infraction à la LStup, et avait bénéficié d’un sursis partiel octroyé le 15 juin 2017 par le Tribunal correctionnel de l’Est vaudois, l’appelant n’a pas hésité à poursuivre son activité criminelle, alors même qu’il se trouvait en semi-détention. Ainsi, il ne peut être que constaté qu’il est ancré dans la délinquance et qu’il a fait fi de la confiance qui avait été placée en lui par les autorités, démontrant par là-même son absence totale de considération pour l’ordre juridique suisse et son incapacité à prendre conscience de la gravité de ses actes. En outre, il n’a aucunement collaboré à l’enquête, n’hésitant pas à ourdir des plans avec l’un de ses codétenus pour minimiser sa responsabilité et à accuser faussement des tiers. A sa décharge, la Cour de céans retient, à l’instar des premiers juges, son enfance difficile dans un pays en guerre et, dans une moindre mesure, l’admission, lors de sa dernière audition par le Ministère public, de l’intégralité des faits qui lui sont reprochés, ce point devant toutefois être relativisé dans la mesure où l’appelant a par la suite tenté d’échapper à toute peine en plaidant son irresponsabilité. Son bon comportement en détention constitue un élément neutre du point de vue de la fixation de la peine, dans la mesure où un tel comporte­ment correspond à ce que l’on doit pouvoir attendre de tout détenu (TF 6B_560/2018 du 13 août 2018 consid. 3.6 et les arrêts cités).</w:t>
      </w:r>
    </w:p>
    <w:p>
      <w:r>
        <w:rPr>
          <w:b/>
        </w:rPr>
        <w:t>E. 6.3.2</w:t>
      </w:r>
    </w:p>
    <w:p>
      <w:r>
        <w:t>En l’espèce, l’appelant s’est rendu coupable de faux dans les certificats, de dénonciation calomnieuse, d’instigation à induire la justice en erreur, d’infraction grave à la LStup, de contravention à la LStup, d’infraction à la LArm et de violation grave des règles de la circulation routière. En l’occurrence, seule une peine privative de liberté entre en ligne de compte pour sanctionner l’infraction grave à la LStup commise par l’appelant, qui en réalise toutes les aggravantes. En outre, pour des motifs de prévention spéciale, une peine privative de liberté s’impose également pour sanctionner toutes les autres infractions, sous réserve des contraventions, ce genre de peine étant le seul en mesure de faire comprendre à l’appelant qu’il ne peut pas continuer à commettre des délits, ses précédentes condamnations n’ayant jusqu’à présent en rien infléchi son comportement délictuel. L’infraction grave à la LStup, en tant qu’elle porte sur la période du 21 avril 2016 au 15 juin 2017, les infractions à la LArm portant jusqu’à cette dernière date et l’infraction de faux dans les certificats commises par l’appelant dans le cadre de la présente affaire sont antérieures à sa condamnation à une peine privative de liberté de 18 mois, dont 10 mois avec sursis pendant trois ans et à une amende de 500 fr. prononcée le 15 juin 2017 par le Tribunal correctionnel de l’arrondissement de l’Est vaudois pour contravention et infraction grave à la LStup. Les peines en cause étant de même genre, il y a en l’espèce lieu de fixer une peine complémentaire en tenant compte du fait que l’auteur ne doit pas être puni plus sévèrement que s’il avait fait l’objet d’un seul jugement. Ainsi, concrètement, si ces infractions avaient été jugées simultanément le 15 juin 2017, compte tenu de la culpabilité du prévenu telle qu’elle est décrite ci-dessus, c’est une peine privative de liberté d’ensemble de 4 ans qui aurait été prononcée, soit de 3 ans et 10 mois pour l’infraction grave à la LStup, peine augmentée, par les effets du concours, de 1,5 mois pour réprimer les infractions à la LArm commises avant le 15 juin 2017 et de 15 jours pour sanctionner le faux dans les certificats. Pour ce groupe d’infractions, la peine complémentaire doit donc être arrêtée à 2,5 ans. Les infractions commises postérieurement à toute autre condamnation, soit l’infraction grave à la LStup en tant qu’elle porte sur la période du 16 juin 2017 au 4 avril 2018, la dénonciation calomnieuse, l’instigation à induire la justice en erreur, les infractions à la LArm entre le 16 juin 2017 et le 4 avril 2018 et la violation grave des règles de la circulation routière, doivent faire l’objet d’une peine indépendante. L’infraction la plus grave est sans conteste l’infraction grave à la LStup, passible d’une peine privative de liberté d’un an au moins et de vingt ans au plus. Au vu des considérations qui précèdent et de la situation de récidive spéciale, elle justifie à elle seule le prononcé d’une peine privative de liberté de 4,5 ans. Les effets du concours conduisent à l’augmentation de cette peine de 2 mois pour réprimer la dénonciation calomnieuse, de 2 mois pour l’instigation à induire la justice en erreur, de 1 mois pour les infractions à la LArm postérieures au 15 juin 2017 et de 1 mois pour sanctionner la violation grave des règles de la circulation routière. Pour ce second groupe d’infractions, la peine privative de liberté doit par conséquent être arrêtée à 5 ans. Il faut encore prendre en considération l’exécution de la peine résultant de la révocation du sursis partiel accordé le 15 juin 2017, révocation au demeurant non contestée en appel, pour laquelle il se justifie d’aggraver la peine privative de liberté de 8 mois, l’appelant ayant poursuivi son activité criminelle durant le délai d’épreuve qui lui avait été imparti. La peine privative de liberté d’ensemble de huit ans prononcée par les premiers juges, partiellement complémentaire à la peine privative de liberté de 18 mois, dont 10 avec sursis pendant 3 ans, infligée au prévenu par jugement du Tribunal correctionnel de l’arrondissement de l’Est vaudois le 15 juin 2017, est dès lors adéquate et doit être confirmée, étant précisé que sa quotité exclut l’octroi de tout sursis.</w:t>
      </w:r>
    </w:p>
    <w:p>
      <w:r>
        <w:rPr>
          <w:b/>
        </w:rPr>
        <w:t>E. 6.3.3</w:t>
      </w:r>
    </w:p>
    <w:p>
      <w:r>
        <w:t>En appel, X.________ est libéré du chef de prévention de contravention à la LArm. S’agissant des contraventions à la LStup, qui sont confirmées (cf. consid. 2.2.1 et 2.2.2 supra ), elles exigent le prononcé d’une amende. La contravention à la LStup portant sur la période du 10 octobre 2016 au 15 juin 2017 est antérieure à la condamnation de l’appelant à une amende de 500 fr. prononcée notamment par le Tribunal correctionnel de l’arrondissement de l’Est vaudois pour contravention à la LStup. Ainsi, pour cette nouvelle contravention, il y a lieu de fixer une amende complémentaire en tenant compte du fait que l’auteur ne doit pas être puni plus sévèrement que s’il avait fait l’objet d’un seul jugement (cf. art. 104 CP) et d’arrêter, pour cette période de consommation de stupéfiants, le montant de l’amende à 100 francs. Il y a par ailleurs lieu de prononcer une amende indépendante de 200 fr. pour la contravention à la LStup portant sur la période postérieure à toute autre condamnation, soit celle du 16 juin 2017 au 3 mars 2018 s’agissant de la marijuana et au 4 avril 2018 s’agissant de la cocaïne. Il se justifie donc, en définitive, de prononcer une amende de 300 fr. pour réprimer la consommation de stupéfiants de l’appelant. La peine privative de liberté de substitution en cas de non-paiement fautif sera fixée à trois 3 jours.</w:t>
      </w:r>
    </w:p>
    <w:p>
      <w:r>
        <w:rPr>
          <w:b/>
        </w:rPr>
        <w:t>E. 6.4</w:t>
      </w:r>
    </w:p>
    <w:p>
      <w:r>
        <w:t>Conformément à l’art. 51 CP, la détention subie avant jugement sera déduite de la peine privative de liberté prononcée. La déduction de la peine prononcée de 11 jours supplémentaires à titre de réparation du tort moral pour les 21 jours de détention subis dans des conditions illicites à l’Hôtel de police de Lausanne, qui n’est au demeurant pas contestée, est adéquate et doit être confirmée. Le maintien de l’appelant en détention pour des motifs de sûreté sera en outre ordonné pour garantir l’exécution de la peine, au vu du risque de fuite qu’il présente.</w:t>
      </w:r>
    </w:p>
    <w:p>
      <w:r>
        <w:rPr>
          <w:b/>
        </w:rPr>
        <w:t>E. 6.5</w:t>
      </w:r>
    </w:p>
    <w:p>
      <w:r>
        <w:t>Dans la mesure où elle repose sur la prémisse de l’admission de son appel, la demande de mise en liberté immédiate de l’appelant doit être rejetée.</w:t>
      </w:r>
    </w:p>
    <w:p>
      <w:r>
        <w:rPr>
          <w:b/>
        </w:rPr>
        <w:t>E. 7.1</w:t>
      </w:r>
    </w:p>
    <w:p>
      <w:r>
        <w:t>Invoquant une violation de la CEDH, l’appelant se plaint d’avoir été puni deux fois pour les mêmes faits, soit d’avoir été condamné à une peine privative de liberté pour infraction grave à la LStup et à une expulsion pour cette même infraction. Il fait en outre valoir que son expulsion du territoire suisse ne serait pas justifiée au vu de sa situation personnelle et invoque l’application de la clause de rigueur.</w:t>
      </w:r>
    </w:p>
    <w:p>
      <w:r>
        <w:rPr>
          <w:b/>
        </w:rPr>
        <w:t>E. 7.2.1</w:t>
      </w:r>
    </w:p>
    <w:p>
      <w:r>
        <w:t>Aux termes de l'art. 66a al. 1 let. o CP, le juge expulse de Suisse l'étranger qui est condamné pour infraction à l’art. 19 al. 2 LStup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6B_1329/2018 du 14 février 2019 consid. 2.2 ; TF 6B_1262/2018 du 29 janvier 2019 consid. 2.2). Le fait que la clause de rigueur soit une norme potestative ne signifie pas que le juge pénal puisse librement décider d'appliquer ou non l'exception de l'art. 66a al. 2 CP. Le juge doit faire usage du pouvoir d'appréciation qui lui est conféré par cette norme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(ATF 144 IV 332 précité ; TF 6B_1329/2018 précité ; TF 6B_1262/2018 précité).</w:t>
      </w:r>
    </w:p>
    <w:p>
      <w:r>
        <w:rPr>
          <w:b/>
        </w:rPr>
        <w:t>E. 7.2.2</w:t>
      </w:r>
    </w:p>
    <w:p>
      <w:r>
        <w:t>La loi ne définit pas ce qu’il faut entendre par une « situation personnelle grave » (première condition cumulative) ni n’indique les critères à prendre en compte dans la pesée des intérêts (seconde condition cumulative). Selon la jurisprudence, compte tenu du lien étroit entre l'expulsion pénale et les mesures du droit des étrangers, il est justifié de s'inspirer, de manière générale, des critères prévus par l'art. 31 al. 1 OASA (Ordonnance du 24 octobre 2007 relative à l'admission, au séjour et à l'exercice d'une activité lucrative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2.3.1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6B_1218/2019 du 19 décembre 2019 consid. 2.3.1 ; TF 6B_908/2019 du 5 novembre 2019 consid. 2.1 ; TF 6B_1045/2019 du 18 octobre 2019 consid. 1.3.1).</w:t>
      </w:r>
    </w:p>
    <w:p>
      <w:r>
        <w:rPr>
          <w:b/>
        </w:rPr>
        <w:t>E. 7.2.3</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134 II 10 consid. 4.3 ; TF 6B_1218/2019 précité ; TF 6B_2/2019 du 27 septembre 2019 consid. 7.2.1).</w:t>
      </w:r>
    </w:p>
    <w:p>
      <w:r>
        <w:rPr>
          <w:b/>
        </w:rPr>
        <w:t>E. 7.3</w:t>
      </w:r>
    </w:p>
    <w:p>
      <w:r>
        <w:t>En préambule, il convient de relever, contrairement à ce que soutient l’appelant, que l’expulsion pénale n’est pas une peine, mais une mesure (comme en témoigne d’ailleurs l’appartenance des dispositions y relatives à la section 2 « autres mesures » du Code pénal), de sorte que le prononcé d’une expulsion et d’une peine privative de liberté pour la même infraction ne constitue pas une double peine. L’appelant a commis une infraction grave à la loi sur les stupéfiants (art. 19 al. 2 LStup) qui tombe sous le coup de l'art. 66a al. 1 let. o CP, de sorte qu’il remplit a priori les conditions d'une expulsion obligatoire, sous la réserve d'une application de l'art. 66a al. 2 CP. L’appelant est arrivé en Suisse alors qu’il n’était âgé que de huit ans. Au bénéfice d’un permis d’établissement, il a passé l’essentiel de sa vie dans ce pays, où vivent également ses parents, ses demi-sœurs et une grande partie de sa famille. Force est de constater qu’il ne s’est toutefois jamais intégré dans son pays d’accueil, où il a commencé à commettre des infractions dès l’âge de 15 ans. Alors qu’il n’est aujourd’hui âgé que de 25 ans, il doit subir sa cinquième condamnation en tant qu’adulte, pour des infractions de plus en plus graves, démontrant par là qu’il s’est ancré très tôt dans la délinquance. Malgré les mesures mises en place par le Tribunal des mineurs, le prononcé de sursis à l’exécution de deux de ses peines et les aménagements dont il a bénéficié pour exécuter sa précédente peine privative de liberté, il a démontré qu’il n’était pas digne de la confiance placée en lui par les autorités, en récidivant alors même qu’il purgeait encore sa peine sous le régime de la semi-détention et bénéficiait d’un sursis partiel pour le solde. Aujourd’hui majeur, X.________ n’est pas marié et n’a pas d’enfants. S’il a obtenu un CFC, l’appelant n’a toutefois jamais travaillé de manière fixe, ni gagné sa vie par le fruit d’une activité licite. Par ailleurs, bien qu’il parle couramment le français, il maîtrise également sa langue d’origine et a encore de la famille au Kosovo, où l’un de ses oncles possède notamment un hôtel. La question de savoir si son expulsion du territoire helvétique le placerait dans une situation personnelle suffisamment grave pour que l’application de la clause de rigueur puisse être envisagée, notamment sous l’angle du droit au respect de sa vie privée et familiale au sens de l’art. 8 § 1 CEDH, peut rester ouverte en l’espèce, dans la mesure où il faut également déterminer si son expulsion se justifie au regard de l’art. 8 § 2 CEDH, à savoir si l’intérêt public présidant à son expulsion l’emporte sur son intérêt privé à demeurer en Suisse. Cette pesée des intérêts implique en particulier de déterminer si la mesure litigieuse respecte le principe de la proportionnalité découlant des art. 5 al. 2 Cst. et 8 § 2 CEDH (TF 6B_1329/2018 précité consid. 2.4 ;  TF 6B_1262/2018 précité consid. 2.4 ; TF 6B_1079/2018 du 14 décembre 2018 consid. 1.4). Or les intérêts présidant à l’expulsion de l’appelant sont importants, dès lors que celui-ci s’est livré pendant deux ans à un important trafic de drogue portant notamment sur plus de 36 kg de marijuana et plus de 2 kg de cocaïne, le nombre de ses clients dépassant la centaine. A cet égard, il convient de rappeler que la Cour européenne des droits de l’homme (CourEDH) estime que, compte tenu des ravages de la drogue dans la population, les autorités sont fondées à faire preuve d'une grande fermeté à l'encontre de ceux qui contribuent à la propagation de ce fléau (cf. arrêts CourEDH  K.M. c. Suisse du 2 juin 2015 [requête n° 6009/10] § 55 ; Dalia c. France du 19 février 1998, Recueil CourEDH 1998-I 76 § 54 ; TF 6B_1329/2018 précité consid. 2.4.2). Par ailleurs, il convient de relever que la peine privative de liberté de huit ans à laquelle a été condamné l’appelant pourrait permettre une révocation de son autorisation d’établissement sur la base de l'art. 62 al. 1 let. b LEI (Loi fédérale sur les étrangers et l’intégration du 16 décembre 2005 ; RS 142.20)  (ATF 139 I 145 consid. 2.1).  Ainsi, compte tenu de la menace pour l’ordre et la santé publics que constituent les infractions sanctionnées en l’espèce, de la médiocre intégration de l’appelant en Suisse et de la persistance de celui-ci à violer l’ordre juridique suisse depuis son plus jeune âge, l’intérêt public à l’expulsion l’emporte manifestement sur l’intérêt privé de l’intéressé à demeurer en Suisse. En définitive, force est de constater que X.________ subirait sans conteste un préjudice du fait de son expulsion. Toutefois, rien ne permet de présumer qu’il rencontrerait de graves difficultés à s’insérer socialement et professionnellement dans son pays d’origine, dont il parle la langue et où il dispose de relais familiaux. Au vu de ce qui précède, les éléments recueillis sont insuffisants pour renoncer à l’expulsion du prévenu au vu de l'intérêt public à son éloignement de Suisse, qui l’emporte sur son intérêt privé à demeurer dans ce pays. L’appel de X.________ doit être rejeté sur ce point et il se justifie dès lors de confirmer l’expulsion du territoire suisse de l’intéressé pour dix ans, durée qui n’apparaît pas excessive et qui, au demeurant, n’a pas été contestée en tant que telle.</w:t>
      </w:r>
    </w:p>
    <w:p>
      <w:r>
        <w:rPr>
          <w:b/>
        </w:rPr>
        <w:t>E. 8</w:t>
      </w:r>
    </w:p>
    <w:p>
      <w:r>
        <w:t>L’appelant requiert une indemnité, à la charge de l’Etat, de 116'812 fr. 50 à titre de réparation du tort moral fondée sur l'art. 429 al. 1 let. c CPP, en raison de la détention subie.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l'espèce, la condamnation du prévenu étant confirmée, celui-ci étant condamné à une peine privative de liberté de huit ans, il n'y a pas de place pour une quelconque indemnité au sens de l'article 429 CPP, faute d'acquittement.</w:t>
      </w:r>
    </w:p>
    <w:p>
      <w:r>
        <w:rPr>
          <w:b/>
        </w:rPr>
        <w:t>E. 9</w:t>
      </w:r>
    </w:p>
    <w:p>
      <w:r>
        <w:t>L’appelant conclut à la restitution de la somme de 200 fr. séquestrée, majorée d’un intérêt à 5 % l’an dès la date de la confiscation. Dans la mesure où cette conclusion repose sur la prémisse de l’admission de son appel, elle doit être rejetée.</w:t>
      </w:r>
    </w:p>
    <w:p>
      <w:r>
        <w:rPr>
          <w:b/>
        </w:rPr>
        <w:t>E. 10</w:t>
      </w:r>
    </w:p>
    <w:p>
      <w:r>
        <w:t>En définitive, l’appel de X.________ doit être très partiellement admis et le jugement entrepris réformé dans le sens des considérants qui précèdent. La liste des opérations produite à l’audience d’appel par Me Thierry de Mestral, défenseur d’office de X.________, fait état de 30.2 heures d’activité d’avocat, hors durée de l’audience d’appel, dont 16.2 heures consacrées à des actes de procédure, ainsi que de trois vacations et de débours à hauteur de 15 fr. 30. Le temps allégué à la rédaction d’actes de procédure, dont plus de 15 heures pour la seule rédaction du mémoire d’appel, apparaît manifestement excessif et doit être réduit de moitié, une durée de 8 heures apparaissant adéquate, au vu de la nature de l’affaire et du contenu de l’acte, pour la rédaction d’une déclaration d’appel, une demande de libération et la formulation de réquisitions de preuves. Aux 22 heures ainsi dévolues au mandat, il convient d’ajouter 1.7 heure pour tenir compte de la durée de l’audience d’appel. Les débours seront pour leur part indemnisés sur une base forfaitaire, à concurrence de 2 % du montant des honoraires admis (art. 3 bis RAJ [Règlement sur l’assistance judiciaire en matière civile du 7 décembre 2010 ; BLV 211.02.3], par renvoi de l’art. 26b TFIP [Tarif des frais de procédure et indemnités en matière pénale du 28 septembre 2010 ; BLV 312.03.1]), vacations et TVA en sus. Ainsi, tout bien considéré, une indemnité de défenseur d'office d'un montant de 5’074 fr. 05, correspondant à une activité de 23.7 heures au tarif horaire de 180 fr., à des débours à hauteur de 85 fr. 30, à trois vacations à 120 fr. et à la TVA par 362 fr. 75, sera allouée à Me Thierry de Mestral. Vu l’issue de la cause, les frais de la procédure d’appel, par 9'624 fr. 05, constitués en l’espèce de l'émolument de jugement, par 4’550 fr. (art. 21 al. 1 et 2 TFIP), ainsi que de l’indemnité allouée au défenseur d’office, par 5’074 fr. 05, seront mis par quatre cinquièmes, soit par 7’699 fr. 25, à la charge de X.________ dès lors qu’il succombe dans une très large mesure, le solde étant laissé à la charge de l’Etat (art. 428 al. 1 CPP). L’appelant ne sera tenu de rembourser à l’Etat les quatre cinquièmes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