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49 vom 29. Juni 2018</w:t>
      </w:r>
    </w:p>
    <w:p>
      <w:r>
        <w:t>VD Tribunal cantonal, 2018-06-29, FR</w:t>
      </w:r>
    </w:p>
    <w:p>
      <w:r>
        <w:rPr>
          <w:b/>
        </w:rPr>
        <w:t xml:space="preserve">Quelle: </w:t>
      </w:r>
      <w:r>
        <w:t>https://mcp.opencaselaw.ch/entscheid/vd_findinfo_Jug___2020___49</w:t>
      </w:r>
    </w:p>
    <w:p>
      <w:r>
        <w:t>FR: VD_FINDINFO Jug / 2020 / 49 du 29 juin 2018</w:t>
      </w:r>
    </w:p>
    <w:p>
      <w:r>
        <w:t>IT: VD_FINDINFO Jug / 2020 / 49 del 29 giugno 2018</w:t>
      </w:r>
    </w:p>
    <w:p>
      <w:pPr>
        <w:pStyle w:val="Heading2"/>
      </w:pPr>
      <w:r>
        <w:t>Regeste</w:t>
      </w:r>
    </w:p>
    <w:p>
      <w:r>
        <w:t>TRAVAIL D'INTÉRÊT GÉNÉRAL, LEX MITIOR | 2 al. 2 CP, 37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Renouvelée à l’audience d’appel, puis jointe au fond par la Cour, la requête incidente de l’appelant tend à l’annulation du jugement pour incompétence de l’autorité qui l’a rendu et au renvoi de la cause à la juridiction des mineurs comme objet de sa compétence. Le plaideur se prévaut de la violation de règles de compétence impératives et du fait qu’il n’avait pas été pourvu d’un défenseur d’office dans la présente cause avant le 9 novembre 2018 (cf. P. 40, précitée). L’appelant a été en mesure de défendre ses intérêts sans l’assistance d’un avocat, en déposant une annonce et une déclaration d’appel valides en la forme. La cause ne présentait ainsi pas des difficultés que le prévenu seul ne pourrait pas surmonter au sens de l’art. 132 al. 2 CPP. Une fois assisté, l’appelant a soulevé sans tarder le moyen déduit de l’incompétence du Tribunal de police. Le fait que la désignation d’un défenseur d’office dans la présente procédure a été postérieure à l’ouverture de l’instance d’appel n’a donc pas causé de préjudice à la partie. L’informalité éventuelle a ainsi été corrigée par la désignation du mandataire du prévenu en qualité de défenseur d’office par ordonnance du 9 novembre 2018 (P. 40, précitée). Plus encore, lors de son audition du 12 décembre 2017 déjà, le prévenu a déclaré renoncer à la désignation d’un défenseur d’office (PV aud. 2, l. 30) et rien ne l’empêchait de demander à être assisté dès l’ouverture des débats, respectivement en prévision de la déclaration d’appel. Pour le reste, il suffit de constater que le prévenu, né le [...] 1998, était majeur lors des faits incriminés, qui remontent au 11 février 2017. La présente cause a été instruite et menée jusqu’au jugement frappé d’appel, indépendamment des autres procédures dirigées contre l’intéressé, qui concernent tant des faits antérieurs que postérieurs à sa majorité. L’art. 3 al. 2 DPMin, rapproché de l’art. 9 al. 2 CP, ménage des exceptions au principe de l’attraction de compétence en faveur du juge des mineurs lorsque le prévenu fait l’objet d’une instruction relevant du droit des mineurs lors de l’ouverture de la cause relevant de la juridiction des majeurs. En effet, Le Tribunal fédéral a reconnu que certaines circonstances – en particulier la gravité de la nouvelle infraction examinée – pouvaient exceptionnellement conduire à ne pas appliquer l'art. 3 al. 2, 4 ème phrase, DPMin; cela permettait à l'autorité ordinaire de statuer séparément sur des infractions commises par l'auteur en tant que majeur quand bien même une procédure de droit pénal des mineurs était pendante (ATF 135 IV 206 consid. 5.3 p. 211; TF 1B_206/2019 du 9 octobre 2019 consid. 3.1). C’est à juste titre que le Ministère public soutient qu’une exception au principe de l’attraction de compétence en faveur du juge des mineurs se justifie dans le cas particulier (cf. P. 46, précitée). En effet, la présente cause porte sur un fait isolé, établi, étroitement circonscrit et, du reste, désormais incontesté. Dans ces circonstances, l’attraction de compétence aurait pour effet de retarder la présente cause et d’entraver sans aucun profit l’avancement de l’enquête menée par la juridiction des mineurs, qui est à un stade très avancé (TF 1B_206/2019, déjà cité, consid. 3.4 p. 8 in fine). L’attraction de compétence ferait donc fi des principes de célérité et d’économie de la procédure consacrés à l’art. 5 al. 1 CPP. A défaut d’obligation de jonction par attraction de compétences, la présente cause ne saurait donc impérativement relever de la juridiction des mineurs. On se trouve dès lors dans le cas de figure exceptionnel visé par la jurisprudence récente (TF 1B_206/2019, déjà cité). La conclusion incidente d’appel doit ainsi être rejetée et il y a lieu de statuer au fond en l’état.</w:t>
      </w:r>
    </w:p>
    <w:p>
      <w:r>
        <w:rPr>
          <w:b/>
        </w:rPr>
        <w:t>E. 4</w:t>
      </w:r>
    </w:p>
    <w:p>
      <w:r>
        <w:t>Sont litigieux au fond le genre et la quotité de la peine. L’appelant conclut à une peine d’ensemble modérée sous la forme d’une peine pécuniaire et de travail d’intérêt général. L’art. 37 CP a été abrogé par la loi fédérale du 19 juin 2015 (Réforme du droit des sanctions) en vigueur depuis le 1 er janvier 2018 (RO 2016 1249; FF 2012 4385). Depuis lors, le travail d’intérêt général n’est plus une peine, mais une modalité d’exécution des sanctions, comme cela découle de l’art. 79a CP, introduit par la novelle du 19 juin 2015. En l’espèce, les actes incriminés sont toutefois antérieurs au 1 er janvier 2018. L’appelant a expressément consenti à accomplir un travail d’intérêt général. Partant, l’ancien droit est plus favorable au prévenu que le nouveau. Le principe de la lex mitior (art. 2 al. 1 CP) trouve donc à s'appliquer. Une peine de travail d’intérêt général selon l’ancien droit entre dès lors en ligne de compte sur la base des conclusions d’appel.</w:t>
      </w:r>
    </w:p>
    <w:p>
      <w:r>
        <w:rPr>
          <w:b/>
        </w:rPr>
        <w:t>E. 4.1</w:t>
      </w:r>
    </w:p>
    <w:p>
      <w:r>
        <w:t>Selon l’art. 37 ancien CP, à la place d’une peine privative de liberté de moins de six mois ou d’une peine pécuniaire de 180 jours-amende au plus, le juge peut ordonner, avec l’accord de l’auteur, un travail d’intérêt général de 720 heures au plus (al. 1). Ainsi, selon le droit en vigueur jusqu’au 31 décembre 2017,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TF 6B_709/2013 du 27 janvier 2014 consid. 2).</w:t>
      </w:r>
    </w:p>
    <w:p>
      <w:r>
        <w:rPr>
          <w:b/>
        </w:rPr>
        <w:t>E. 4.2</w:t>
      </w:r>
    </w:p>
    <w:p>
      <w:r>
        <w:t>Pour sa part,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ATF 137 II 297 consid. 2.3.4; ATF 134 IV 97 consid. 4.2).</w:t>
      </w:r>
    </w:p>
    <w:p>
      <w:r>
        <w:rPr>
          <w:b/>
        </w:rPr>
        <w:t>E. 5</w:t>
      </w:r>
    </w:p>
    <w:p>
      <w:r>
        <w:t>La question à trancher est celle de savoir s'il est nécessaire de prononcer une peine privative de liberté. Le Tribunal de police a justifié la peine privative de liberté (ferme) par des motifs de prévention spéciale (jugement, p. 10). Cela étant, le prévenu reconnaît désormais sans réserve les faits incriminés. Il a présenté des excuses au lésé et l’a indemnisé à hauteur de la réparation prononcée par le Tribunal de police. Bien que récente, son insertion socio-professionnelle peut être qualifiée d’adéquate quoique fragile. En effet, il travaille, même si son emploi est d’une certaine précarité; il pourvoit ce faisant à son entretien; en outre, il se prépare à faire face à ses futures responsabilités familiales. Une peine pécuniaire aurait pour effet d’obérer la situation financière du prévenu et, partant, de compromettre une insertion socio-professionnelle encore fragile. Dès lors qu’il consent à une peine de travail d'intérêt général, c’est une telle peine qui doit être prononcée.</w:t>
      </w:r>
    </w:p>
    <w:p>
      <w:r>
        <w:rPr>
          <w:b/>
        </w:rPr>
        <w:t>E. 6.1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7.1</w:t>
      </w:r>
    </w:p>
    <w:p>
      <w:r>
        <w:t>L’infraction ici en cause a été commise durant le délai d’épreuve imparti par le jugement du 24 juin 2016 du Tribunal des mineurs. Dans un premier temps, il s’agira d’arrêter la quotité de la peine réprimant l’infraction commise le 11 février 2017. Cela fait, la quotité de cette peine devra être accrue par l’effet de la révocation du sursis (cf. not. CAPE 13 décembre 2019/293). L’appelant ne conteste pas cette révocation. Une peine d’ensemble de travail d'intérêt général présuppose la conversion de la peine de deux mois de privation de liberté prononcée le 24 juin 2016 par le Tribunal des mineurs, vu l’exigence que les peines soient de même genre. Cela est également incontesté.</w:t>
      </w:r>
    </w:p>
    <w:p>
      <w:r>
        <w:rPr>
          <w:b/>
        </w:rPr>
        <w:t>E. 7.2</w:t>
      </w:r>
    </w:p>
    <w:p>
      <w:r>
        <w:t>L’audition du prévenu par la Cour de céans a révélé divers éléments à décharge qui n’étaient pas avérés lors du jugement de première instance. Comme déjà relevé, l’intéressé a présenté des excuses au lésé et l’a indemnisé. Son insertion socio-professionnelle peut désormais être qualifiée d’adéquate bien que fragile. En effet, il travaille et pourvoit ce faisant à son entretien; en outre, il se prépare à faire face à ses futures responsabilité familiales. Il doit aussi être tenu compte du relativement jeune âge du prévenu lors des faits. Cela étant, la dangerosité de l’atteinte portée au plaignant, infligée de manière aussi brutale que futile, trahit le mépris de l’auteur pour la sécurité d’autrui. La période de détention subie peu avant les faits n’a pas eu d’effet d’amendement. Il s’agit d’un facteur à charge significatif. Enfin, le prévenu ne conteste pas entièrement les actes incriminés dans les autres enquêtes pendantes, qui portent sur des faits autrement plus graves que ceux ici en cause. Tout bien considéré, c’est une peine de travail d'intérêt général de 480 heures qui doit être prononcée pour réprimer l’infraction commise le 11 février 2017. La peine de deux mois de privation de liberté (60 jours) prononcés le 24 juin 2016 par le Tribunal des mineurs équivaut à 240 heures de travail d'intérêt général (art. 39 al. 2 CP, en vigueur jusqu’au 31 décembre 2017 et dont la teneur est reprise par l’art. 79a al. 4 CP depuis le 1 er janvier 2018). Ainsi, c’est une peine de travail d'intérêt général fixée au maximum légal de 720 heures (480 + 240) qui doit être prononcée. La détention avant jugement (onze jours) sera déduite (art. 51 CP).</w:t>
      </w:r>
    </w:p>
    <w:p>
      <w:r>
        <w:rPr>
          <w:b/>
        </w:rPr>
        <w:t>E. 8</w:t>
      </w:r>
    </w:p>
    <w:p>
      <w:r>
        <w:t>Statuant d’office sur la base de l’état de fait donné lors de l’audience d’appel, la Cour portera le montant versé par l’appelant en déduction de la réparation morale allouée au plaignant (ch. V du dispositif du jugement). Le prévenu succombant à l’action pénale, il n’y a au surplus pas lieu de modifier le sort des frais de première instance.</w:t>
      </w:r>
    </w:p>
    <w:p>
      <w:r>
        <w:rPr>
          <w:b/>
        </w:rPr>
        <w:t>E. 9</w:t>
      </w:r>
    </w:p>
    <w:p>
      <w:r>
        <w:t>Vu l’issue de l’appel, les frais d’appel (art. 21 al. 1 et 2 TFIP [Tarif des frais de procédure et indemnités en matière pénale du 28 septembre 2010; BLV 312.03.1]) seront laissés à la charge de l’Etat, le prévenu obtenant entièrement gain de cause sur ses conclusions d’appel. Outre l’émolument, les frais d’appel comprennent l’indemnité en faveur du défenseur d’office de l’appelant (art. 422 al. 1 et al. 2 let. a CPP). Cette indemnité sera également laissée à la charge de l’Etat. Le mandataire a produit une liste d’opérations et de débours (P. 51). La durée de l’audience d’appel doit être prise en compte à raison d’une heure et demie (y compris une brève conférence avec le client) au lieu de sa durée présumée de trois heures. La durée de trois heures aussi indiquée au titre des lettres et des courriels apparaît excessive au vu des prestations utile à la défense des intérêts du prévenu, qui ne nécessitait qu’une heure et demie au vu de l’ampleur limitée du dossier. De même, la durée de 4,2 heures au titre de « [r]echerches juridiques et étude du dossier » s’avère excessive. En particulier, l’ampleur des procédés et déterminations divers en relation avec les aspects de la procédure relevant de la compétence du Tribunal fédéral (compétence de la juridiction ordinaire par opposition à la juridiction des mineurs) apparaît sans commune mesure avec les conclusions de la requête incidente, dès lors qu’il aurait suffi de renvoyer aux arrêts du Tribunal fédéral avec une brève motivation complémentaire. La requête en suspension de cause apparaît en outre d’une ampleur excessive. Seule une durée d’activité de deux heures doit être retenue à ce titre. Ce qui précède s’applique également au poste « [p]réparations d’audiences ». La préparation de l’audience d’appel, durant laquelle le défenseur d’office s’est limité à renouveler les conclusions incidentes déjà présentée et à exposer la situation personnelle du prévenu, ne saurait justifier une durée de quatre heures. Seule une durée d’activité de deux heures doit être retenue à ce titre. Enfin, si le bordereau de pièces produit à l’audience d’appel (P. 52) est certes volumineux, sa confection ne saurait pour autant nécessiter une heure d’activité, s’agissant pour l’essentiel de tâches de secrétariat. Qui plus est, les nombreuses postulations produites apparaissent en partie redondantes. Seule une durée d’activité d’une demi-heure doit être retenue à ce titre. C’est donc une durée totale de 7,7 heures (1,5 + 1,5 + 2,2 + 2,0 + 0,5) qui doit être retranchée de la liste d’opérations. Quant aux débours, aucune vacation ne saurait être prise en compte séparément pour des opérations dont l’utilité n’est pas avérée. Tel est le cas des opérations des 12 novembre 2018 et 28 janvier 2020. L’indemnité doit être arrêtée sur la base d’une durée d’activité d’avocat de 19,3 heures (27 - 7,7), au tarif horaire de 180 francs. Aux honoraires de 3'474‬ fr. doivent être ajoutés des débours forfaitaires au taux de 2 % (cf. art. 26b TFIP qui renvoie à l'art. 3 bis RAJ [règlement sur l’assistance judiciaire en matière civile du 7 décembre 2010; BLV 211.02.3], en vigueur dès le 1 er mai 2019), ainsi que trois vacations à 120 fr. chacune, et la TVA sur le tout, au taux de 7,7%. L’indemnité totale s’élève ainsi à 4'204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