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488 vom 24. Juli 2020</w:t>
      </w:r>
    </w:p>
    <w:p>
      <w:r>
        <w:t>VD Tribunal cantonal, 2020-07-24, FR</w:t>
      </w:r>
    </w:p>
    <w:p>
      <w:r>
        <w:rPr>
          <w:b/>
        </w:rPr>
        <w:t xml:space="preserve">Quelle: </w:t>
      </w:r>
      <w:r>
        <w:t>https://mcp.opencaselaw.ch/entscheid/vd_findinfo_Jug___2020___488</w:t>
      </w:r>
    </w:p>
    <w:p>
      <w:r>
        <w:t>FR: VD_FINDINFO Jug / 2020 / 488 du 24 juillet 2020</w:t>
      </w:r>
    </w:p>
    <w:p>
      <w:r>
        <w:t>IT: VD_FINDINFO Jug / 2020 / 488 del 24 luglio 2020</w:t>
      </w:r>
    </w:p>
    <w:p>
      <w:pPr>
        <w:pStyle w:val="Heading2"/>
      </w:pPr>
      <w:r>
        <w:t>Regeste</w:t>
      </w:r>
    </w:p>
    <w:p>
      <w:r>
        <w:t>FIXATION DE LA PEINE, SURSIS À L'EXÉCUTION DE LA PEINE, LOI FÉDÉRALE SUR LES ÉTRANGERS | 42 al. 2 CP, 47 CP, 49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3.1</w:t>
      </w:r>
    </w:p>
    <w:p>
      <w:r>
        <w:t>L’appelant conteste uniquement la peine prononcée à son encontre. En substance, il fait valoir que le tribunal de première instance n’aurait pas consciencieusement tenu compte de tous les éléments à décharge dans le cadre de la fixation de la peine, mélangeant les arguments relatifs à la fixation de la peine à ceux relatifs à l’octroi d’un sursis ou à la révocation d’un sursis antérieur. Il soutient en particulier que la peine prononcée serait excessive pour le motif que sa volonté délictuelle ne serait pas intense dans la mesure où, loin d'évoluer dans la clandestinité, il loue ouvertement un logement à [...], selon contrat du 18 juin 2018 ; qu'il a été convoqué à une séance publique fixée le 20 novembre 2019 par la commission communale d'intégration ; qu'une taxe communale forfaitaire 2019 pour la gestion des déchets lui a été facturée et qu'il a l'intention d'épouser une habitante de Bienne travaillant comme animatrice, éducatrice et accompagnatrice d'enfants en âge préscolaire (P. 12/2/2 à 6). Enfin, l'appelant se prévaut des services qu'il a rendus, comme informateur, à la Police municipale de Lausanne.</w:t>
      </w:r>
    </w:p>
    <w:p>
      <w:r>
        <w:rPr>
          <w:b/>
        </w:rPr>
        <w:t>E. 3.2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3.3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consid, 2.1; TF 6B_688/2014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3.4</w:t>
      </w:r>
    </w:p>
    <w:p>
      <w:r>
        <w:t>Tant l’infraction de séjour illégal de l'art. 115 al. 1 let. b LEI (loi sur les étrangers et l'intégration du 16 décembre 2005 ; RS 142.20) que celle liée à l'exercice d'une activité lucrative sans autorisation (art. 115 al. 1 let. c LEI) sont passibles d'une peine privative de liberté d'un an au plus ou d'une peine pécuniaire.</w:t>
      </w:r>
    </w:p>
    <w:p>
      <w:r>
        <w:rPr>
          <w:b/>
        </w:rPr>
        <w:t>E. 3.5</w:t>
      </w:r>
    </w:p>
    <w:p>
      <w:r>
        <w:t>Quoiqu’il en dise, la culpabilité de X.________ est importante, notamment en raison de la durée de la période en cause, soit deux ans (du 30 août 2017 au 30 août 2019) et des structures mises en place, sous la forme de deux sociétés (Sàrl) successives gérées par le prévenu pour déployer une activité professionnelle non autorisée de peintre en bâtiment. Au surplus, il a à ce jour déjà fait l’objet de neuf condamnations dont six ont notamment été prononcées pour une voire les deux mêmes infractions à la législation sur les étrangers. Enfin, les infractions dont il est question dans le cadre de la présente procédure ont été commises alors que le prévenu avait exécuté, peu avant – soit entre mars 2015 et janvier 2017 – plusieurs peines privatives de liberté antérieures pour un total de vingt-deux mois de privation de liberté (P. 4/1). Manifestement, cette première expérience carcérale n'a produit aucun effet correcteur s'agissant du respect par l’appelant de cette législation. Pour le surplus, il apparaît que le premier juge n'a omis aucun des éléments invoqués par l’appelant, mis à part l'activité d'indicateur de police. Cet élément n’est toutefois pas déterminant, dans la mesure où cette collaboration n’a néanmoins pas empêché le prévenu de persister, parallèlement, à violer effrontément la législation suisse. En effet, X.________, ressortissant algérien en situation illégale, n'ignore assurément pas – au regard notamment de son lourd passé judiciaire – qu'un renvoi par la force dans son pays d'origine est impossible tant qu’il s'y oppose. Cette situation lui permet ainsi de s’incruster sans vergogne en Suisse, bien qu’il sache y être installé illégalement et ne pas être autorisé à y exercer une activité lucrative. Il n'a par conséquent aucun mérite à ce que son séjour illégal soit connu d'une administration communale au lieu d'évoluer dans les conditions plus inconfortables de la clandestinité. Quant au projet de mariage avec une Suissesse dont il estime qu’il devrait être reconnu comme une preuve de sa volonté de légaliser sa situation, il convient en premier lieu de souligner que ce projet est relativement récent et qu’il ne saurait atténuer les comportements punissables antérieurs au début des démarches. Au surplus, rien n'empêcherait l'appelant d'attendre l'issue des démarches entreprises à l'étranger pour prétendre ensuite à une autorisation de séjour pour vivre auprès de son épouse en Suisse. L’appelant se prévaut encore du fait qu’il n’a pas commis d’infraction contre le patrimoine en concours avec les infractions à la loi sur les étrangers comme cela a régulièrement été le cas dans le cadre des neufs condamnations précédentes. Là encore, on ne voit pas en quoi cet élément pourrait être retenu comme un élément décharge, le fait de ne pas commettre une infraction relevant uniquement du comportement attendu de tout un chacun et lui évitant simplement une condamnation sensiblement plus lourde en raison de cette nouvelle hypothétique infraction. En définitive, on peut constater une sensible amélioration dans le comportement de l’appelant durant ces dernières années, notamment en raison de l’aide apportée aux forces de l’ordre. Toutefois, au vu des antécédents de l’appelant ainsi que du fait qu’une peine pécuniaire ne serait manifestement pas susceptible d'être exécutée par le prévenu personnellement – étant rappelé que celui-ci a fait appel à sa petite amie pour s’acquitter, partiellement, de la somme due au CHUV et dont le remboursement avait été érigé en règle de conduite – une peine privative de liberté s'impose pour sanctionner toutes les infractions commises, pour des motifs de prévention spéciale. Compte tenu du long et récidivant séjour illicite, celui-ci aurait dû être sanctionné d'une peine privative de liberté d'au moins 5 mois, qu’il conviendrait de majorer d’autant par l’effet du concours pour sanctionner l'activité lucrative sans autorisation. L'interdiction de la réforme au détriment de l'appelant impose toutefois de confirmer la peine privative de liberté de quatre mois prononcée par le tribunal de première instance.</w:t>
      </w:r>
    </w:p>
    <w:p>
      <w:r>
        <w:rPr>
          <w:b/>
        </w:rPr>
        <w:t>E. 4.1</w:t>
      </w:r>
    </w:p>
    <w:p>
      <w:r>
        <w:t>L’appelant a conclu à l’octroi d’un sursis complet. Il ne conteste pas que l’art. 42 al. 2 CP soit applicable, mais il considère qu’il existerait des circonstances particulièrement favorables dont il s’agirait de tenir compte, notamment liées à sa collaboration avec la police et à sa volonté de régulariser sa situation.</w:t>
      </w:r>
    </w:p>
    <w:p>
      <w:r>
        <w:rPr>
          <w:b/>
        </w:rPr>
        <w:t>E. 4.2</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La disposition transitoire de la modification du 19 juin 2015 prévoit qu’il ne peut y avoir de sursis à l’exécution d’une peine (art. 42 al. 1 CP) qu’en cas de circonstances particulièrement favorables si, durant les cinq ans qui précèdent l’infraction, l’auteur a été condamné à une peine pécuniaire de plus de 180 jours-amende en vertu de l’ancien droit. En l’espèce, l’application de l’ancien ou du nouveau droit ne conduit pas à un résultat différent. En effet, l'appelant a notamment été condamné le 13 juin 2016 à 15 mois de privation de liberté et le 30 août 2017 à 90 jours de privation de liberté. Les infractions ayant été commises du 30 août 2017 au 30 août 2019, soit dans les 5 ans suivant la condamnation de 2016, l'art. 42 al. 2 CP n'autorise le sursis qu'en cas de circonstances particulièrement favorables. Partant, une application de l’art. 42 al. 1 et 2 CP dans sa teneur au 1 er janvier 2018 ne saurait entrer en considération en vertu du principe de la lex mitior (cf. art. 2 al. 2 CP ; TF 6B_42/2018 du 17 mai 2018 consid. 1.1 ; TF 6B_658/2017 du 30 janvier 2018 consid. 1.1).</w:t>
      </w:r>
    </w:p>
    <w:p>
      <w:r>
        <w:rPr>
          <w:b/>
        </w:rPr>
        <w:t>E. 4.3</w:t>
      </w:r>
    </w:p>
    <w:p>
      <w:r>
        <w:t>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6B_42/2018 précité consid. 1.2 ; TF 6B_658/2017 précité consid. 1.2). Dans l’hypothèse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si les conditions de vie du condamné se sont modifiées de manière particulièrement positive (ATF 134 IV 1 consid. 4.2.3 ; TF 6B_42/2018 précité consid. 1.2 ; TF 6B_227/2017 du 25 octobre 2017 consid. 4.2).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précité consid. 1.2 ; TF 6B_869/2016 du 1er juin 2017 consid. 4.2 ; TF 6B_510/2010 du 4 octobre 2010 consid. 1.2.2). De vagues espoirs quant à la conduite future du délinquant ne suffisent pas pour poser un pronostic favorable. Une nouvelle infraction commise dans le même domaine qu’une précédente infraction, alors sanctionnée par une peine assortie du sursis, constitue à elle seule un motif de prévision défavorable (ATF 115 IV 81 consid. 2a ; ATF 105 IV 225 consid. 2, JdT 1980 I 456).</w:t>
      </w:r>
    </w:p>
    <w:p>
      <w:r>
        <w:rPr>
          <w:b/>
        </w:rPr>
        <w:t>E. 4.4</w:t>
      </w:r>
    </w:p>
    <w:p>
      <w:r>
        <w:t>Au moment de déterminer si la peine prononcée pour sanctionner des infractions à la LEI est susceptible d’être suspendue par l’octroi d’un sursis, il sied de relever que l’appelant a déjà été condamné à non moins de sept reprises pour ce motif. Dans ces conditions, ni le fait qu’il ait désormais« limité » sa délinquance à ce domaine, ni même la prise de conscience dont il se prévaut en relation avec ses activités d'indicateur de police ne sauraient constituer des éléments à ce point favorables qu’ils soient susceptibles de renverser le pronostic défavorable qui s’impose. Il en va de même du projet de l'intéressé de stabiliser sa situation au travers d'un mariage dès lors qu'on ne saurait en déduire un quelconque progrès, ces démarches venant à peine de débuter et n'étant pas accomplies depuis l'étranger, soit en conformité avec la loi. Enfin, on relèvera que le fait que la peine prononcée dans le cadre de la présente procédure soit une peine ferme a largement influencé la décision du tribunal de première instance tendant à la non-révocation du sursis qui avait été octroyé à l’appelant le 30 janvier 2014 par le Tribunal de police de la Côte. En définitive, il n’existe pas d’élément particulièrement favorable permettant d’envisager l’octroi d’un sursis et la peine prononcée sera ferme.</w:t>
      </w:r>
    </w:p>
    <w:p>
      <w:r>
        <w:rPr>
          <w:b/>
        </w:rPr>
        <w:t>E. 5</w:t>
      </w:r>
    </w:p>
    <w:p>
      <w:r>
        <w:t>En conclusion, l’appel doit être rejeté et le jugement attaqué intégralement confirmé. Vu l’issue de la cause, il n’y a pas lieu de donner suite à la requête d’allocation d’une indemnité au sens de l’art. 429 CPP présentée par l’appelant. En outre, les frais de la procédure d’appel, constitués en l’espèce du seul émolument de jugement, par 1’830 fr. (art. 21 al. 1 et 2 TFIP [Tarif des frais de procédure et indemnités en matière pénale du 28 septembre 2010 ; BLV 312.03.1]), sont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