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485 vom 25. Mai 2020</w:t>
      </w:r>
    </w:p>
    <w:p>
      <w:r>
        <w:t>VD Tribunal cantonal, 2020-05-25, FR</w:t>
      </w:r>
    </w:p>
    <w:p>
      <w:r>
        <w:rPr>
          <w:b/>
        </w:rPr>
        <w:t xml:space="preserve">Quelle: </w:t>
      </w:r>
      <w:r>
        <w:t>https://mcp.opencaselaw.ch/entscheid/vd_findinfo_Jug___2020___485</w:t>
      </w:r>
    </w:p>
    <w:p>
      <w:r>
        <w:t>FR: VD_FINDINFO Jug / 2020 / 485 du 25 mai 2020</w:t>
      </w:r>
    </w:p>
    <w:p>
      <w:r>
        <w:t>IT: VD_FINDINFO Jug / 2020 / 485 del 25 maggio 2020</w:t>
      </w:r>
    </w:p>
    <w:p>
      <w:pPr>
        <w:pStyle w:val="Heading2"/>
      </w:pPr>
      <w:r>
        <w:t>Regeste</w:t>
      </w:r>
    </w:p>
    <w:p>
      <w:r>
        <w:t>EXPULSION{DROIT PÉNAL}, CONTRAINTE SEXUELLE | 189 al. 1 CP, 66a CP</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B.________.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2.1</w:t>
      </w:r>
    </w:p>
    <w:p>
      <w:r>
        <w:t>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Il 1 consid. 6.1 ; ATF 135 1143 consid. 1.3.2).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contre Suisse du 19 octobre 2015, § 46 ; Ukaj contre Suisse du 24 septembre 2014, § 29 ; Üner contre Pays-Bas du 18 octobre 2006, § 59 ; cf. également TF 6B_706/2018 précité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Il 10 consid. 4.3 ; plus récemment TF 6B_706/2018 précité consid. 2.2 ; TF 6B_296/2018 précité consid. 3.1).</w:t>
      </w:r>
    </w:p>
    <w:p>
      <w:r>
        <w:rPr>
          <w:b/>
        </w:rPr>
        <w:t>E. 3</w:t>
      </w:r>
    </w:p>
    <w:p>
      <w:r>
        <w:t>L'appelant ne conteste plus les faits de la cause et admet s'être rendu coupable de contrainte sexuelle. Il doit donc être reconnu coupable de cette infraction pour les motifs retenus en première instance que la cour de céans fait siens (art. 82 al. 4 CPP). B.________ ne conteste pas non plus la peine qui lui a été infligée. Vérifiée d’office, celle-ci a été fixée en application des critères légaux à charge et à décharge et conformément à la culpabilité de l'appelant. La Cour de céans fait donc sienne la motivation complète et convaincante des premiers juges (art. 82 al. 4 CPP), conduisant à condamner l'appelant à 15 mois de peine privative de liberté, avec sursis durant 4 ans.</w:t>
      </w:r>
    </w:p>
    <w:p>
      <w:r>
        <w:rPr>
          <w:b/>
        </w:rPr>
        <w:t>E. 4.1</w:t>
      </w:r>
    </w:p>
    <w:p>
      <w:r>
        <w:t>L’appelant conteste son expulsion du territoire suisse pour une durée de 5 ans prononcée par les premiers juges. Il insiste particulièrement sur sa bonne intégration professionnelle, sur le fait que l’infraction commise constitue un acte isolé, sur la présence en Suisse de son épouse et de sa fille cadette, sur la déposition d’un témoin de moralité entendu aux débats de première instance, ainsi que sur le fait qu’il ne réaliserait pas une menace pour la sécurité et l’ordre publics. Il se prévaut de la clause de rigueur de l’art. 66a CP et de l’art. 5 de l’annexe I à l’ALCP ( Accord du 12 juin 1999 entre la Confédération suisse et la Communauté européenne et ses états membres sur la libre circulation des personnes ; RS 0.142.112.681).</w:t>
      </w:r>
    </w:p>
    <w:p>
      <w:r>
        <w:rPr>
          <w:b/>
        </w:rPr>
        <w:t>E. 4.2.1</w:t>
      </w:r>
    </w:p>
    <w:p>
      <w:r>
        <w:t>Aux termes de l'art. 66a al. 1 let. h CP, entré en vigueur le 1er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4.2.2</w:t>
      </w:r>
    </w:p>
    <w:p>
      <w:r>
        <w:t>L'art. 66a al. 2 CP définit une « Kannvorschrift », en ce sens que le juge n'a pas l'obligation de renoncer à l'expulsion, mais peut le faire si les conditions cumulatives fixées par cette disposition sont remplies (TF 6B_706/2018 du 7 août 2018 consid. 2.1 ; TF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6B_706/2018 précité consid. 2.1 ; TF 6B_296/2018 du 13 juillet 2018 consid. 3.2 ; TF 6B_1299/2017 du 10 avril 2018 consid. 2.1).</w:t>
      </w:r>
    </w:p>
    <w:p>
      <w:r>
        <w:rPr>
          <w:b/>
        </w:rPr>
        <w:t>E. 4.2.3</w:t>
      </w:r>
    </w:p>
    <w:p>
      <w:r>
        <w:t>Selon l'art. 8 par. 1 CEDH (Convention européenne de sauvegarde des droits de l'homme et des libertés fondamentales du 4 novembre 1950 ; RS 0.101),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Un étranger peut se prévaloir de l'art. 8 par. 1 CEDH (et de l'art. 13 Cst. [Constitution fédérale de la Confédération suisse du 18 avril 1999 ; RS 101]),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w:t>
      </w:r>
    </w:p>
    <w:p>
      <w:r>
        <w:rPr>
          <w:b/>
        </w:rPr>
        <w:t>E. 4.2.4</w:t>
      </w:r>
    </w:p>
    <w:p>
      <w:r>
        <w:t>A teneur de l'art. 5 annexe I ALCP, les droits octroyés par les dispositions de I'ALCP ne peuvent être limités que par des mesures justifiées par des raisons d'ordre public, de sécurité publique et de santé publique (ATF 139 II 121 consid. 5.3 ; ATF 136 II 5 consid. 3.4 ; TF 2C_247/2015 du 7 décembre 2015 consid. 5.1 ; TF 2C_370/2012 du 29 octobre 2012 consid. 3.1).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l'art. 5 par. 2 annexe I ALCP ; TF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 TF 2C_560/2016 du 6 octobre 2016 consid. 3.1). 5.3 5.3.1 L'appelant s'est rendu coupable de contrainte sexuelle. Il s'agit d'un cas d'expulsion obligatoire (art. 66 al. 1 let. h CP), et ce indépendamment de la quotité de la peine prononcée à son encontre. 5.3.2 Les premiers juges ont considéré que la première condition de l’art. 66a al. 2 CP n’était pas réalisée pour les motifs suivants : « B.________ est un ressortissant français vivant en Suisse depuis 2012 environ. Il y a une épouse – dont il vit séparé et se dit divorcé – et une fille majeure. S’il parle couramment le français, il ne s’agit pas d’un élément indiquant une intégration particulière en raison de son pays d’origine. B.________ a vécu la majeure partie de sa vie en France, pays dans lequel il a encore sa famille proche, dont l’enfant de son épouse avec laquelle il a conservé des contacts. Au bénéfice de deux CAP et d’une longue expérience professionnelle, le prévenu devrait pouvoir se réinsérer sans peine dans son pays. Partant, on ne voit pas à quelle situation personnelle grave il serait exposé en cas d’expulsion. Certes, il serait séparé de sa fille, mais celle-ci est majeure et peut donc facilement se déplacer dans un pays voisin pour y rencontrer son père ». 5.3.3 L’argumentation des premiers juges ne prête pas le flanc à la critique et le témoignage de l’amie actuelle de l’appelant, qui ne conçoit pas que ce dernier ait pu avoir le comportement qui lui est reproché et qui le décrit comme quelqu’un de serviable, de doux et de tendre (jugement attaqué p. 15 ss.), ne change rien à ce constat. Sous l’angle de l’examen requis par la jurisprudence en relation avec l’art. 5 annexe I ALCP, il faut relever que les actes sont d’une gravité objective qui est loin d’être négligeable. Les conséquences sur la victime perdurent, puisqu’elle souffre encore de stress post-traumatique et est toujours suivie médicalement. B.________ a en outre fait plaider en première instance que la victime devait bien s’attendre à faire l’objet d’avances de nature sexuelle si elle acceptait de venir boire un dernier verre, ce qui révèle une mentalité qui est de nature à inquiéter, sous l’angle du risque de récidive. L’importance du bien juridique menacé est considérable. L’atteinte qui y a été portée l’est aussi et la mentalité du prévenu laisse craindre d’autres atteintes. De plus, après avoir nié en bloc les accusations portées contre lui, allant même jusqu’à faire plaider qu’il était une victime de «  # Me Too », ce n’est qu’au stade de l’appel et sans aucune conviction qu’il a finalement déclaré : « En réalité j’accepte ce qu’on me reproche. Vous me demandez si les reproches sont injustes. Je vous réponds que je les accepte ». Ces explications ne vont pas dans le sens d’une véritable prise de conscience, mais constituent une acceptation de circonstances, ce qui n’est de toute évidence pas suffisant pour écarter le risque de réitération. Enfin, le jugement CAPE du 7 mai 2020 (n° 128) cité par la défense ne lui est d’aucun secours. En effet, d’une part ce jugement confirme le renvoi du condamné et, d’autre part, les faits retenus, bien qu’objectivement plus graves, ne sauraient constituer une sorte de limite inférieure en dessous de laquelle un prévenu ne devrait pas être renvoyé.</w:t>
      </w:r>
    </w:p>
    <w:p>
      <w:r>
        <w:rPr>
          <w:b/>
        </w:rPr>
        <w:t>E. 6</w:t>
      </w:r>
    </w:p>
    <w:p>
      <w:r>
        <w:t>En définitive, l’appel de B.________ doit être rejeté et le jugement entrepris intégralement confirmé. Selon la liste d’opérations produite par Me Laurent Schuler (P. 47), défenseur d’office de B.________, dont il n'y a pas lieu de s'écarter, une indemnité d’un montant de 1'948 fr. 40, TVA et débours inclus, lui sera allouée. Vu l’issue de la cause, les frais de la procédure d’appel, soit l’émolument de jugement par 1'500 fr. (art. 21 al. 1 et 2 TFIP [Tarif des frais de procédure et indemnités en matière pénale du 28 septembre 2010 ; BLV 312.03.1]) et l'indemnité du défenseur d'office de l'appelant, par 1'948 fr. 40, sont mis à la charge de B.________, qui succombe (art. 428 al. 1, 1 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