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47 vom 25. September 2019</w:t>
      </w:r>
    </w:p>
    <w:p>
      <w:r>
        <w:t>VD Tribunal cantonal, 2019-09-25, FR</w:t>
      </w:r>
    </w:p>
    <w:p>
      <w:r>
        <w:rPr>
          <w:b/>
        </w:rPr>
        <w:t xml:space="preserve">Quelle: </w:t>
      </w:r>
      <w:r>
        <w:t>https://mcp.opencaselaw.ch/entscheid/vd_findinfo_Jug___2020___47</w:t>
      </w:r>
    </w:p>
    <w:p>
      <w:r>
        <w:t>FR: VD_FINDINFO Jug / 2020 / 47 du 25 septembre 2019</w:t>
      </w:r>
    </w:p>
    <w:p>
      <w:r>
        <w:t>IT: VD_FINDINFO Jug / 2020 / 47 del 25 settembre 2019</w:t>
      </w:r>
    </w:p>
    <w:p>
      <w:pPr>
        <w:pStyle w:val="Heading2"/>
      </w:pPr>
      <w:r>
        <w:t>Regeste</w:t>
      </w:r>
    </w:p>
    <w:p>
      <w:r>
        <w:t>CONSTATATION DES FAITS, FIXATION DE LA PEINE, RÉVOCATION DU SURSIS, PEINE D'ENSEMBLE, DÉTENTION ILLICITE | 46 CP, 47 CP, 49 al. 1 CP, 10 CPP (CH), 431 al. 1 CPP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Z.________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A titre de mesures d’instruction, l’appelant a requis la production du dossier concernant la procédure pénale dirigée contre L.________ et l'audition de celle-ci. Il soutient que ces éléments pourraient avoir une influence déterminante pour l'établissement des faits.</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3.3</w:t>
      </w:r>
    </w:p>
    <w:p>
      <w:r>
        <w:t>En l'espèce, les réquisitions de preuves formulées par l'appelant n'ont jamais été formulées devant l'autorité de première instance et elles sont ainsi tardives. De toute manière, l'appelant n'indique pas en quoi les mesures requises pourraient avoir un effet sur le jugement de la cause et on ne le discerne pas, puisqu'il a admis les faits qui concernent indirectement L.________ et que, comme on le verra ci-après, sa version des faits n'a aucune incidence sur l'infraction retenue (cf. ci-après consid. 4.3). Les réquisitions de preuves doivent en conséquence être rejetées.</w:t>
      </w:r>
    </w:p>
    <w:p>
      <w:r>
        <w:rPr>
          <w:b/>
        </w:rPr>
        <w:t>E. 4.1</w:t>
      </w:r>
    </w:p>
    <w:p>
      <w:r>
        <w:t>L'appelant invoque d'abord une violation de la présomption d'innocence. Les premiers juges auraient écarté à tort ses "explications convaincantes" concernant ses ventes de cocaïne à A.________ et n'auraient pas pris en compte ses déclarations et celles de L.________ selon lesquelles la moitié de la drogue aurait appartenu à cette dernière. Enfin, les premiers juges auraient appliqué à tort le taux de pureté analysé par l'Ecole des sciences criminelles à l'ensemble de la drogue.</w:t>
      </w:r>
    </w:p>
    <w:p>
      <w:r>
        <w:rPr>
          <w:b/>
        </w:rPr>
        <w:t>E. 4.2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4.3</w:t>
      </w:r>
    </w:p>
    <w:p>
      <w:r>
        <w:t>Aux débats de première instance, lorsqu'il a été interrogé sur la quantité totale de cocaïne vendue à A.________, le prévenu a répondu "Je ne sais pas vraiment combien j'ai vendu de cocaïne. J'admets les faits. Je pense que j'ai plutôt vendu 150 grammes. Je sais qu'il a acheté à plusieurs personnes en même temps, je ne sais pas s'il ne s'est pas trompé dans ses dires" (jugement, p. 10). Face à une contestation aussi imprécise, le prévenu peut difficilement se prévaloir d'explications convaincantes concernant ses ventes de cocaïne au prénommé. Les premiers juges étaient ainsi parfaitement fondés à retenir les mises en cause de l'acheteur A.________ qui s'incriminait également. Pour la drogue dont le prévenu affirme qu'elle appartiendrait pour moitié à L.________, elle a quoi qu'il en soit été trouvée en sa possession, lors de la fouille de sécurité effectuée par la police le 27 janvier 2019. En outre, compte tenu de la quantité, soit 68 g bruts de cocaïne, cette drogue n'était pas destinée à la consommation personnelle du prévenu. L'éventuelle copropriété invoquée par l'appelant n'a donc aucune conséquence sur l'illicéité de son comportement au regard de l'infraction grave à la LStup qui lui est reprochée, puisqu'il était le détenteur d'une quantité de drogue destinée à être cédée à autrui. Quant au taux de pureté, l'analyse a porté sur une quantité de 68 g de cocaïne provenant d'un lot de 140 g acheté par l'appelant le 19 janvier 2019. Celui-ci a en outre indiqué aux débats de première instance, en référence au taux de pureté qui est largement supérieur à la moyenne, qu'il cherchait toujours la meilleure qualité et qu'il n'avait jamais coupé de cocaïne à son domicile ou ailleurs (jugement, p. 10). Les premiers juges étaient donc fondés à retenir les taux de pureté révélés par les analyses.</w:t>
      </w:r>
    </w:p>
    <w:p>
      <w:r>
        <w:rPr>
          <w:b/>
        </w:rPr>
        <w:t>E. 5.1</w:t>
      </w:r>
    </w:p>
    <w:p>
      <w:r>
        <w:t>L'appelant se plaint ensuite de l'appréciation de sa culpabilité et invoque la violation de son droit d'être entendu s'agissant de la motivation de la révocation du sursis et s'agissant de la fixation de la peine. Cette motivation ne permettrait pas de comprendre pourquoi les premiers juges ont révoqué le sursis accordé le 6 mars 2013 et comment ils ont arrêté la peine d'ensemble à 40 mois. Ils n'auraient pas expliqué non plus comment ils ont fait application de l'art. 19 al. 3 let. b LStup.</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ATF 120 IV 334 consid. 2a), à partir de laquelle le cas doit être considéré comme grave au sens de l'art. 19 al. 2 let. a LStup (ATF 121 IV 193 consid. 2b/aa; TF 6B_780/2018 précité; TF 6B_107/2013 du 15 mai 2013 consid. 2.1). Le type de drogue et sa pureté doivent aussi être pris en considération (ATF 122 IV 299 consid. 2c;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TF 6B_807/2017 du 30 janvier 2018 consid. 2.1;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w:t>
      </w:r>
    </w:p>
    <w:p>
      <w:r>
        <w:rPr>
          <w:b/>
        </w:rPr>
        <w:t>E. 5.2.2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144 IV 217 consid. 2.2 pp. 219 ss ; 142 IV 265 IV 2.3.2 pp. 267 ss; 138 IV 120 consid. 5.2 p. 122). Si les sanctions envisagées concrètement ne sont pas du même genre, elles doivent être prononcées cumulativement (ATF 144 IV 317 consid. 1.1.1 p. 316; 142 IV 265 consid. 2.3.2; 138 IV 120 consid. 5.2 p. 122; 137 IV 57 consid. 4.3.1 p. 58). La peine privative de liberté et la peine pécuniaire ne sont pas des sanctions du même genre (ATF 144 IV 317 consid. 1.1.1 p. 316; 144 IV 265 consid. 2.2 p. 220; 137 IV 57 consid. 4.3.1 p. 58).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(ATF 93 IV 7). Dans un second temps, il augmentera cette peine pour sanctionner chacune des autres infractions, en tenant compte là aussi de toutes les circonstances y relatives (ATF 144 IV 313 consid. 1.1.2 p. 317; 127 IV 101 consid. 2b p. 104; TF 6B_688/2014 du 22 décembre 2017 consid. 27.2.1; plus récemment TF 6B_1175/2017 du 11 avril 2018 consid. 2.1).</w:t>
      </w:r>
    </w:p>
    <w:p>
      <w:r>
        <w:rPr>
          <w:b/>
        </w:rPr>
        <w:t>E. 5.2.3</w:t>
      </w:r>
    </w:p>
    <w:p>
      <w:r>
        <w:t>Dans sa nouvelle teneur depuis le 1er janvier 2018 – plus favorable en l’espèce au prévenu que la version en vigueur à l’époque des faits, dans la mesure où elle enjoint le juge de fixer une peine d’ensemble, en appliquant par analogie l’art. 49 CP, si la peine révoquée et la nouvelle peine sont du même genre (ATF 145 IV 1 consid. 1.2 p. 7) –,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5.3</w:t>
      </w:r>
    </w:p>
    <w:p>
      <w:r>
        <w:t>Les premiers juges ont relevé que la culpabilité du prévenu était lourde en raison de la gravité des infractions à la législation sur les stupéfiants et en raison de la persistance des infractions à la LCR. Ils ont souligné l'absence de prise de conscience de la gravité des actes. Ils ont considéré sur cette base qu'une peine privative de liberté d'une certaine durée devait être prononcée. Ils ont pris en compte à charge les antécédents et le concours d'infractions et à décharge une bonne collaboration et le fait que les infractions étaient en lien avec la toxicomanie justifiant une application de l'art. 19 al. 3 let. b LStup. Ils ont encore souligné qu'une partie des faits avaient été commis durant le précédent délai d'épreuve et que le sursis devait être révoqué et une peine d'ensemble prononcée. Les circonstances à charge et à décharge ont été prises en compte adéquatement par les premiers juges. Contrairement à ce que soutient l'appelant, on comprend aisément pourquoi les premiers juges ont prononcé une peine privative de liberté d'ensemble après avoir révoqué le sursis accordé le 6 mars 2013. Les antécédents de l'appelant sont très mauvais. Après sa condamnation du 6 mars 2013, il a récidivé à six reprises. Le délai d'épreuve a été prolongé en 2017. Il a récidivé tant dans le domaine des stupéfiants que dans celui de la circulation routière. Le pronostic est clairement défavorable et une peine privative de liberté doit être prononcée pour des motifs de prévention spéciale. La révocation du sursis s'impose en raison de la gravité des récidives et du pronostic défavorable qui en résulte au moment de prononcer la huitième condamnation. La peine sanctionnant les nouvelles infractions doit être fixée à 34 mois. L'infraction de base est l'infraction grave à la LStup qui mérite une peine privative de liberté de 30 mois en raison d'actes de trafic de drogue dure importants. Par l'effet du concours, elle doit être augmentée de 2 mois pour l'infraction simple à la LStup (trafic de marijuana). Le concours avec les infractions à la LCR, soit la conduite malgré une incapacité et la conduite d’un véhicule automobile malgré un retrait du permis de conduire, qui doivent être réprimées par une peine privative de liberté en raison des récidives innombrables dans ce domaine, soit une peine privative de 1 mois pour chacune des infractions, de gravité égale, a pour effet de porter la peine à 34 mois. A cela s'ajoute encore une aggravation de la peine de l'ordre de 6 mois pour tenir compte de la révocation du sursis à la peine de 8 mois prononcée par le Regionalgericht Bern-Mittelland le 6 mars 2013, l’appelant ayant récidivé à plusieurs reprises durant le délai d’épreuve dans les deux catégories d’infractions pour lesquelles il a déjà été condamné à de nombreuses reprises (infractions à la LStup et infractions à la LCR). En définitive, c'est à juste titre que les premiers juges ont fixé la peine d'ensemble à 40 mois de peine privative de liberté.</w:t>
      </w:r>
    </w:p>
    <w:p>
      <w:r>
        <w:rPr>
          <w:b/>
        </w:rPr>
        <w:t>E. 6.1.1</w:t>
      </w:r>
    </w:p>
    <w:p>
      <w:r>
        <w:t>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TF 6B_352/2018 du 27 juillet 2018 consid. 6.5.1 ; TF 6B_1395/2016 du 27 octobre 2017 consid. 1.1). La Cour européenne des droits de l'Homme a en effet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 CAPE 10 octobre 2014/300 consid. 2.2).</w:t>
      </w:r>
    </w:p>
    <w:p>
      <w:r>
        <w:rPr>
          <w:b/>
        </w:rPr>
        <w:t>E. 6.1.2</w:t>
      </w:r>
    </w:p>
    <w:p>
      <w:r>
        <w:t>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dès lors que l’incarcération était justifiée dans son principe (CAPE 17 avril 2019/174 consid. 11.1 ; CAPE 24 octobre 2014/248 consid. 11.2 ; cf. TF 6B_137/2016 du 1er décembre 2016).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précité ; TF 6B_1395/2016 précité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précité consid. 4.3 ; TF 6B_458/2019 et TF 6B_459/2019 précités et les références citées ; TF 6B_1243/2016 précité).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m 2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m 2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 S’agissant du critère de la durée de la détention, la circonstance aggravante est réalisée dès le 91 e jour et justifie depuis lors une réduction.</w:t>
      </w:r>
    </w:p>
    <w:p>
      <w:r>
        <w:rPr>
          <w:b/>
        </w:rPr>
        <w:t>E. 6.2</w:t>
      </w:r>
    </w:p>
    <w:p>
      <w:r>
        <w:t>Par ordonnance du 24 janvier 2020, le Tribunal des mesures de contrainte a constaté que les conditions dans lesquelles s'était déroulée la détention de Z.________ à la prison du Bois-Mermet depuis le 13 septembre 2019 étaient illicites. Il a d'abord considéré que la cellule du prévenu, représentant une surface individuelle nette de 3,66 m 2 , ne respectait pas le standard de la surface minimale de 4 m 2 fixée par le Tribunal fédéral. En outre, l'intéressé avait occupé cette cellule  pendant un laps de temps supérieur à la durée de trois mois arrêtée par la jurisprudence. Le premier juge a ensuite examiné s'il existait des éléments aggravant les constatations précitées. Comme circonstances aggravantes, il a retenu le fait que les toilettes étaient séparées du reste de la cellule par un rideau ignifuge et que le prévenu était confiné en cellule 22 heures en moyenne. Cette ordonnance n’ayant pas fait l’objet d’une contestation, l’illicéité des conditions de détention du prévenu à la prison du Bois-Mermet a été constatée de manière définitive par le Tribunal des mesures de contrainte, de sorte qu’il se justifie de lui octroyer une réparation pour le tort moral subi. Afin de déterminer l’ampleur de la réparation qui doit être octroyée au prévenu, il y a lieu de constater que l’intéressé a été détenu à la prison du Bois-Mermet, sans interruption du 13 septembre 2019 au 27 janvier 2020, soit pendant 137 jours, ce qui correspond à une longue période (plus de trois mois). Au vu des circonstances concrètes du cas, il se justifie d'opérer une réduction de peine d'un quart de la durée passée dans de telles conditions pour les 90 premiers jours, soit de 23 jours (90 : 4 = 22.5), et une réduction d'un tiers de la durée passée dans de telles conditions à partir du 91 e jour, soit de 16 jours (47 : 3 = 15.66). C’est donc un total de 39 jours (23 jours + 16 jours) qu’il convient de déduire de la peine prononcée à l’encontre du prévenu, à titre de réparation pour le tort moral subi lors de sa détention à la prison du Bois-Mermet, durant la période comprise entre le 13 septembre 2019 et le 27 janvier 2020.</w:t>
      </w:r>
    </w:p>
    <w:p>
      <w:r>
        <w:rPr>
          <w:b/>
        </w:rPr>
        <w:t>E. 7</w:t>
      </w:r>
    </w:p>
    <w:p>
      <w:r>
        <w:t>Conformément à l’art. 51 CP, la détention subie par Z.________ depuis le jugement de première instance sera déduite de la peine privative de liberté d'ensemble de 40 mois qui est prononcée contre lui. Pour garantir l’exécution de cette peine et compte tenu du risque de récidive qu’il présente, le maintien en détention de l’intéressé à titre de sûreté sera ordonné.</w:t>
      </w:r>
    </w:p>
    <w:p>
      <w:r>
        <w:rPr>
          <w:b/>
        </w:rPr>
        <w:t>E. 8</w:t>
      </w:r>
    </w:p>
    <w:p>
      <w:r>
        <w:t>En conclusion, l’appel de Z.________ doit être rejeté et le jugement attaqué réformé d'office au chiffre III de son dispositif dans le sens des considérants qui précèdent (cf. consid. 6.2). Selon la liste d’opérations produite par Me Margaux Loretan, en remplacement de Me Laurent Roulier, dont il n’y a pas lieu de s’écarter, une indemnité pour la procédure d’appel d’un montant de 2'532 fr. 45, correspondant à 11 heures 30 d’activité d’avocat breveté, plus deux vacations à 120 fr., plus 41 fr. 40 de débours (2% des honoraires), plus 181 fr. 05 de TVA, sera allouée à celui-ci pour son mandat de défenseur d’office de Z.________. Vu l’issue de la cause, les frais de la procédure d’appel, par 5'022 fr. 45, constitués de l’émolument de jugement, par 2'490 fr. (art. 21 al. 1 et 2 TFIP [Tarif des frais de procédure et indemnités en matière pénale du 28 septembre 2010 ; BLV 312.03.1]), et de l’indemnité allouée à son défenseur d’office, par 2'532 fr. 45, seront mis à la charge de Z.________, qui succombe (art. 428 al. 1CPP). Z.________ sera tenu de rembourser à l’Etat le montant de l’indemnité en faveur de son défenseur d’office que lorsque sa situation financière le permettra (art. 135 al. 4 let. a CPP). La Cour d’appel pénale, appliquant les art. 40, 46 al. 1, 47, 49 al. 1, 50, 51, 69, 70, 106 CP ; 19 al. 1 let. a, c et d et al. 2 et 3 let. b, 19a ch. 1 LStup ; 91 al. 2 let. b et 95 al. 1 let. b LCR et 398 ss CPP, prononce : I. L’appel est rejeté. II. Le jugement rendu le 25 septembre 2019 par le Tribunal correctionnel de l’arrondissement de l’Est vaudois est rectifié d’office au chiffre III de son dispositif, le dispositif du jugement étant désormais le suivant : " I. constate que Z.________ s’est rendu coupable de contravention, infraction et infraction grave à la Loi fédérale sur les stupéfiants, conduite malgré une incapacité et conduite d’un véhicule automobile malgré un retrait du permis de conduire; II. révoque le sursis accordé à Z.________ le 6 mars 2013 par le Regionalgericht Bern-Mittelland et prononce une peine privative de liberté d’ensemble de 40 mois, sous déduction de 243 jours de détention provisoire, ainsi qu’une amende de 1'000 fr., la peine privative de liberté de substitution étant de 20 jours; III. ordonne que soient déduits de la peine fixée sous chiffre II, à titre de réparation du tort moral, 8 (huit) jours pour 16 (seize) jours de détention subis dans des conditions illicites en zone carcérale, ainsi que 39 (trente-neuf) jours pour 137 (cent trente-sept) jours de détention subis dans des conditions illicites à la Prison du Bois-Mermet; IV. maintient Z.________ en détention pour des motifs de sûreté; V. renonce à expulser Z.________ du territoire suisse; VI. ordonne le maintien au dossier à titre de pièce à conviction du CD inventorié sous fiche n° 25503; VII. ordonne la confiscation et la dévolution à l'Etat des montants de 590 fr. et 600 fr. séquestrés sous fiches n° 25158 et 25217; VIII. ordonne la confiscation et la destruction de la drogue et des objets séquestrés sous pièces 15, 16, 18, 34 et 45; IX. arrête l’indemnité du défenseur d’office de Z.________, Me Laurent Roulier, à 8'460 fr. d’honoraires, 423 fr. de débours, 1'560 fr. de vacations et 804 fr.</w:t>
      </w:r>
    </w:p>
    <w:p>
      <w:r>
        <w:rPr>
          <w:b/>
        </w:rPr>
        <w:t>E. 10</w:t>
      </w:r>
    </w:p>
    <w:p>
      <w:r>
        <w:t>de TVA, soit un total de 11'247 fr. 10; X. met les frais de la cause, par 33'163 fr. 05, à la charge de Z.________, y compris l’indemnité fixée au chiffre précédent; XI. dit que le remboursement à l’Etat de l’indemnité de son défenseur d’office ne sera exigé que si la situation financière du condamné le permet." III. La détention subie depuis le jugement de première instance est déduite. IV. Le maintien en détention de Z.________ à titre de sûreté est ordonné. V. Une indemnité de défenseur d'office pour la procédure d'appel d'un montant de 2'532 fr. 45 , débours et TVA inclus, est allouée à Me Laurent Roulier. VI. Les frais d'appel, par 5'022 fr. 45, y compris l'indemnité allouée au défenseur d'office, sont mis à la charge de Z.________. VII. Z.________ ne sera tenu de rembourser à l’Etat le montant de l’indemnité en faveur de son défenseur d’office prévue au ch. V ci-dessus que lorsque sa situation financière le permettra . Le président :              La greffière : Du Le jugement qui précède, dont le dispositif a été communiqué par écrit aux intéressés le 28 janvier 2020 , est notifié, par l'envoi d'une copie complète, à : - Me Laurent Roulier, avocat (pour Z.________), - Ministère public central, et communiqué à : - M. le Président du Tribunal correctionnel de l'arrondissement de l’Est vaudois, - Mme la Procureure de l'arrondissement de Lausanne, - Office d'exécution des peines, - Prison du Bois-Mermet,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