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464 vom 22. Juni 2020</w:t>
      </w:r>
    </w:p>
    <w:p>
      <w:r>
        <w:t>VD Tribunal cantonal, 2020-06-22, FR</w:t>
      </w:r>
    </w:p>
    <w:p>
      <w:r>
        <w:rPr>
          <w:b/>
        </w:rPr>
        <w:t xml:space="preserve">Quelle: </w:t>
      </w:r>
      <w:r>
        <w:t>https://mcp.opencaselaw.ch/entscheid/vd_findinfo_Jug___2020___464</w:t>
      </w:r>
    </w:p>
    <w:p>
      <w:r>
        <w:t>FR: VD_FINDINFO Jug / 2020 / 464 du 22 juin 2020</w:t>
      </w:r>
    </w:p>
    <w:p>
      <w:r>
        <w:t>IT: VD_FINDINFO Jug / 2020 / 464 del 22 giugno 2020</w:t>
      </w:r>
    </w:p>
    <w:p>
      <w:pPr>
        <w:pStyle w:val="Heading2"/>
      </w:pPr>
      <w:r>
        <w:t>Regeste</w:t>
      </w:r>
    </w:p>
    <w:p>
      <w:r>
        <w:t>CIRCULATION ROUTIÈRE{DROIT DE LA CIRCULATION ROUTIÈRE}, CONTRAVENTION, EXCÈS DE VITESSE, JUGE UNIQUE | 90 LCR</w:t>
      </w:r>
    </w:p>
    <w:p>
      <w:pPr>
        <w:pStyle w:val="Heading2"/>
      </w:pPr>
      <w:r>
        <w:t>Erwägungen</w:t>
      </w:r>
    </w:p>
    <w:p>
      <w:r>
        <w:rPr>
          <w:b/>
        </w:rPr>
        <w:t>E. 1.1</w:t>
      </w:r>
    </w:p>
    <w:p>
      <w:r>
        <w:t>Interjeté dans les formes et délais légaux par la prévenue ayant qualité pour recourir contre le jugement du tribunal de première instance qui a clos la procédure (art. 398 al. 1 CPP), l'appel est recevable.</w:t>
      </w:r>
    </w:p>
    <w:p>
      <w:r>
        <w:rPr>
          <w:b/>
        </w:rPr>
        <w:t>E. 1.2</w:t>
      </w:r>
    </w:p>
    <w:p>
      <w:r>
        <w:t>Le jugement de première instance ne portant que sur une contravention (art. 4a al. 1 let. d et 96 OCR [ordonnance sur les règles de la circulation routière du 13 novembre 1962 ; RS 741.11]), l’appel relève de la procédure écrite (art. 406 al. 1 let. c CPP) et la cause ressort de la compétence d’un juge unique (art 14 al. 3 LVCPP [loi vaudoise d'introduction du Code de procédure pénale suisse du 19 mai 2009 ;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réf. cit. ; Kistler Vianin, in : Jeanneret et alii [éd.], Commentaire romand, Code de procédure pénale suisse, 2 e éd., Bâle 2019, nn. 22 ss ad art. 398 CPP).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attaquer et lui renvoyer la cause pour nouveau jugement (Kistler Vianin, op. cit., n. 30 ad art. 398 CPP).</w:t>
      </w:r>
    </w:p>
    <w:p>
      <w:r>
        <w:rPr>
          <w:b/>
        </w:rPr>
        <w:t>E. 2.2</w:t>
      </w:r>
    </w:p>
    <w:p>
      <w:r>
        <w:t>Au vu de ce qui précède, il ne sera pas tenu compte des pièces produites au cours de la procédure d’appel. Il convient en outre de rejeter d’emblée les réquisitions de mesures d’instruction que l’appelante n’a pas formulées en première instance. L’appelante a requis une expertise de la DGMC. L’art. 398 al. 4 CPP interdit qu’une telle mesure soit mise en œuvre au stade de l’appel et le rejet de la réquisition de l’appelante par le premier juge sera le cas échéant examiné selon ce qui précède. L’art. 398 al. 4 CPP n’interdit en revanche pas aux parties ni aux autorités de se déterminer sur les moyens de l’appel, pour autant qu’elles ne fassent alors pas valoir de nouveaux moyens de fait ni des preuves nouvelles.</w:t>
      </w:r>
    </w:p>
    <w:p>
      <w:r>
        <w:rPr>
          <w:b/>
        </w:rPr>
        <w:t>E. 3.1</w:t>
      </w:r>
    </w:p>
    <w:p>
      <w:r>
        <w:t>L’appelante invoque une violation du principe ne bis idem , soutenant avoir été sanctionnée à deux reprises pour les mêmes faits, par ordonnances pénales des 22 octobre 2018 puis 18 juin 2019 ; elle allègue avoir reçu le 24 octobre 2018 un avertissement du Service des automobiles et de la navigation (ci-après : le SAN) à la suite de la première ordonnance et s’exposer à un nouvel avertissement en cas de deuxième condamnation.</w:t>
      </w:r>
    </w:p>
    <w:p>
      <w:r>
        <w:rPr>
          <w:b/>
        </w:rPr>
        <w:t>E. 3.2</w:t>
      </w:r>
    </w:p>
    <w:p>
      <w:r>
        <w:t>Aucune personne condamnée ou acquittée en Suisse par un jugement entré en force ne peut être poursuivie une nouvelle fois pour la même infraction (art. 11 al. 1 CPP). Selon l’art. 437 al. 1 CPP, les jugements et les autres décisions de clôture contre lesquels un moyen de recours 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w:t>
      </w:r>
    </w:p>
    <w:p>
      <w:r>
        <w:rPr>
          <w:b/>
        </w:rPr>
        <w:t>E. 3.3</w:t>
      </w:r>
    </w:p>
    <w:p>
      <w:r>
        <w:t>En l’espèce, le dossier comprend un exemplaire de l’ordonnance pénale datée du 22 octobre 2018. Dans ses déterminations du 12 novembre 2020, la Préfecture a exposé que cette ordonnance n’avait pas été régulièrement notifiée ; elle avait dès lors été annulée et une nouvelle ordonnance pénale avait été établie le 18 juin 2019 et formellement notifiée à l’appelante. La présence de l’ordonnance du 22 octobre 2018 au dossier ne permet pas de s’écarter du jugement querellé et de retenir qu’elle aurait été régulièrement notifiée, encore moins sous l’angle de l’arbitraire. Faute d’une telle notification, aucun délai de recours n’a couru et l’ordonnance n’est donc jamais entrée en force (art. 437 al. 1 let. a-b CPP a contrario ). Dès lors, et quand bien même l’ordonnance pénale du 18 juin 2019 porte une autre date et une autre référence que celle du 22 octobre 2018, elle doit être considérée comme une nouvelle notification de la même décision. Une éventuelle erreur dans la procédure de notification ne signifie toutefois pas qu’il existe plusieurs procédures. En l’espèce, l’ordonnance pénale du 18 juin 2019 est la première qui ait fait l’objet d’une notification régulière, et donc la seule à faire courir un délai de recours. Elle est ainsi intervenue en l’absence de décision entrée en force, l’appelante n’ayant d’ailleurs pas invoqué avoir auparavant dû s’acquitter d’une amende. Il n’y a ainsi pas de violation de l’art. 11 al. 1 CPP. C’est en vain que l’appelante tente de démontrer le contraire en invoquant qu’une première condamnation du 22 octobre 2018 aurait entraîné le prononcé d’un avertissement du SAN. En effet, il s’agit d’allégations nouvelles et donc irrecevables. Du reste, les procédures pénale et administrative en matière de circulation routière sont indépendantes l’une de l’autre et la nouvelle notification d’une décision pénale, au sens décrit ci-dessus, est sans conséquence au niveau administratif. Cela étant, le grief de l’appelante est mal fondé.</w:t>
      </w:r>
    </w:p>
    <w:p>
      <w:r>
        <w:rPr>
          <w:b/>
        </w:rPr>
        <w:t>E. 4</w:t>
      </w:r>
    </w:p>
    <w:p>
      <w:r>
        <w:t>L’appelante se plaint de ne pas avoir eu accès à un tribunal impartial. Ce grief a déjà fait l’objet de l’arrêt de la Chambre des recours pénale du 29 janvier 2020, de sorte qu’il n’y a pas lieu d’y revenir.</w:t>
      </w:r>
    </w:p>
    <w:p>
      <w:r>
        <w:rPr>
          <w:b/>
        </w:rPr>
        <w:t>E. 5.1</w:t>
      </w:r>
    </w:p>
    <w:p>
      <w:r>
        <w:t>L’appelante remet en cause sa condamnation Elle ne conteste pas l’existence d’un panneau limitant la vitesse de circulation à 50 km/h. à l’endroit de l’incident, ni n’invoque avoir été dans l’impossibilité de voir ce panneau, admettant avoir été distraite un court instant durant sa conduite. Elle ne nie pas non plus l’excès de vitesse constaté (67 km/h. au lieu de 50 km/h.). Selon elle, le fait que le panneau soit situé à gauche de la route contrevient cependant aux règles en la matière et sa condamnation en raison d’une violation de l’obligation faite par ce panneau serait dès lors injustifiée.</w:t>
      </w:r>
    </w:p>
    <w:p>
      <w:r>
        <w:rPr>
          <w:b/>
        </w:rPr>
        <w:t>E. 5.2.1</w:t>
      </w:r>
    </w:p>
    <w:p>
      <w:r>
        <w:t>Selon l’art. 90 al. 1 LCR ( loi fédérale sur la circulation routière du 19 décembre 1958 ; RS 741.01 ), celui qui viole les règles de la circulation prévues par cette loi ou par les dispositions d’exécution émanant du Conseil fédéral est puni de l’amende. Le Conseil fédéral limite la vitesse des véhicules automobiles sur toutes les routes (art. 32 al. 2 LCR), la vitesse maximale générale des véhicules pouvant atteindre 50 km/h. dans les localités lorsque les conditions de la route, de la circulation et de visibilité sont favorables (art. 4a al. 1 let. a OCR). Selon l’art. 103 al. 1 OSR (ordonnance sur la signalisation routière du 5 septembre 1979 ; RS 741.21), l es signaux seront placés sur le bord droit de la route. Ils pourront être répétés sur le côté gauche, suspendus au-dessus de la chaussée, installés sur des îlots ou, en cas de nécessité absolue, placés uniquement à gauche. Les signaux indiquant la fin d’une prescription sur des routes secondaires peuvent être placés uniquement à gauche, au revers du signal opposé.</w:t>
      </w:r>
    </w:p>
    <w:p>
      <w:r>
        <w:rPr>
          <w:b/>
        </w:rPr>
        <w:t>E. 5.2.2</w:t>
      </w:r>
    </w:p>
    <w:p>
      <w:r>
        <w:t>En vertu de l’art. 27 al. 1 première phrase LCR, c hacun se conformera aux signaux et aux marques ainsi qu’aux ordres de la police. L'art. 27 al. 1 LCR impose aux usagers de la route de se conformer aux signes et aux marques. Ceux-ci ne sont obligatoires que s'ils sont clairs et que leur portée est aisément reconnaissable (ATF 127 IV 229 consid. 2c.aa ; ATF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Il en va de la sorte des indications de la vitesse maximale autorisée qui créent une confiance des usagers qui doit être protégée dans de multiples circonstances: bifurcation, dépassement etc. (ATF 128 IV 184 cons. 4.3 ; ATF 113 IV 123 consid. 2b ; ATF 99 IV 164 consid. 6 ; TF 6B_112/2011 du 8 juin 2011 consid. 3.3, JdT 2011 I 314 ; cf. ég. TF 1C_535/2017 du 16 octobre 2017 consid. 3). Un comportement non conforme aux signaux et aux marques ne peut être licite que dans des cas tout à fait exceptionnels, où ces injonctions sont entachées de vices si particulièrement manifestes qu'elles doivent être tenues pour nulles (ATF 128 IV 184 consid. 4.3 ; ATF 113 IV 123 consid. 2b ; ATF 99 IV 164 consid. 6 ; TF 6B_1467/2019 du 20 février 2020 consid. 2.2.3 ; TF 6B_700/2015 du 14 septembre 2016 consid. 1.1). Aussi, tant que la nullité du signal n'est pas d'emblée reconnaissable pour chaque usager de la route, il faut admettre qu'il existe un intérêt public prépondérant à ce que les conducteurs respectent la signalisation telle qu'elle se présente (ATF 128 IV 184 consid. 4.3 ; ATF 113 IV 123 consid. 2b ; Bussy et alii , Code suisse de la circulation routière commenté, 4 e éd., 2015, n. 1.3 ad art. 27 LCR ; Stefan Maeder, in : Basler Kommentar, Strassenverkehrsgesetz, 2014, n. 25 ad art. 27 LCR).</w:t>
      </w:r>
    </w:p>
    <w:p>
      <w:r>
        <w:rPr>
          <w:b/>
        </w:rPr>
        <w:t>E. 5.3</w:t>
      </w:r>
    </w:p>
    <w:p>
      <w:r>
        <w:t>En l’espèce, l e premier juge a considéré qu’au vu de la configuration des lieux, comprenant un virage, il était nécessaire que le panneau soit placé sur la gauche de la route afin d’entrer plus vite dans le champ de vision du conducteur et de lui permettre d’identifier l’entrée dans une localité et la nouvelle limitation de vitesse plus tôt que s’il était placé sur la droite de la route, où un mur et une haie étaient susceptibles de le rendre moins visible (jugement pp. 9 s). Ces considérations ne permettent pas de retenir un cas de "nécessité absolue" au sens de l’art. 103 al. 1 OSR, justifiant que la limitation de vitesse à l’endroit concerné soit uniquement indiquée à gauche de la route. Cela est d’autant moins le cas que le premier juge a retenu qu’un deuxième panneau de limitation de vitesse a dans l’intervalle été installé à droite de la route, malgré le mur et la haie situés à cet endroit (ibid.). Au 17 juillet 2018, la signalisation à l’endroit de l’incident contrevenait ainsi à l’art. 103 al. 1 OSR. Le panneau du panneau à gauche de la route ne constitue toutefois pas un vice manifeste au point d’être reconnaissable par tout usager de la route. Au contraire, il ressort des considérants du premier juge, dont l’appelante ne démontre pas l’arbitraire, que le panneau était visible sur une longue distance avant même le contour, de telle sorte qu’un véhicule imposant comme un camion ou bus circulant en sens inverse ne pouvait le cacher que sur quelques mètres (jugement p. 10). L’appelante ne prétend pas non plus que le panneau n’est pas clair ni que sa portée n’est pas aisément reconnaissable, ce qui suffit à sceller le sort de son appel. Dans ces conditions, c’est sans verser dans l’arbitraire que le premier juge a rejeté sa requête tendant à obtenir un avis de la DGMC quant à la licéité de la signalétique à l’endroit concerné. Cela étant, l’appelante avait le devoir de se conformer à la signalisation et le court instant de distraction qu’elle invoque suffit à constituer une violation de ce devoir. C’est ainsi à bon droit que le premier juge a constaté qu’elle s’était rendue coupable de violation simple des règles de la circulation routière.</w:t>
      </w:r>
    </w:p>
    <w:p>
      <w:r>
        <w:rPr>
          <w:b/>
        </w:rPr>
        <w:t>E. 6.1</w:t>
      </w:r>
    </w:p>
    <w:p>
      <w:r>
        <w:t>L’appelante invoque une violation du principe de l’égalité de traitement. A la lecture de ses moyens, on comprend qu’elle estime que l’amende de 400 fr. qui lui a été infligée est trop sévère.</w:t>
      </w:r>
    </w:p>
    <w:p>
      <w:r>
        <w:rPr>
          <w:b/>
        </w:rPr>
        <w:t>E. 6.2</w:t>
      </w:r>
    </w:p>
    <w:p>
      <w:r>
        <w:t>Ce montant paraît adéquat, l’appelante étant salariée et ayant exposé assumer l’entretien de deux enfants sans aide de leur père. Le refus de l’appelante d’exposer sa situation personnelle plus en détail empêche un examen plus approfondi de la quotité de l’amende, mais ce montant n’est manifestement pas arbitraire, ce qui suffit pour qu’il doive être confirmé (art. 398 al. 4 CPP ; supra consid. 2.1). L’amende peut par ailleurs être assortie d’une peine priva­tive de liberté de substitution (art. 106 CP) et la peine de 4 jours du cas d’espèce respecte le taux de conversion "standard" de 100 fr. pour un jour de privation de liberté (cf. Dupuis et alii , Petit Commentaire du Code pénal, 2 e éd., Bâle 2017 , n. 9 ad art. 106 CP). Le grief de l’appelante est par conséquent mal fondé.</w:t>
      </w:r>
    </w:p>
    <w:p>
      <w:r>
        <w:rPr>
          <w:b/>
        </w:rPr>
        <w:t>E. 7</w:t>
      </w:r>
    </w:p>
    <w:p>
      <w:r>
        <w:t>Au vu de ce qui précède, l’appel doit être rejeté et le jugement entrepris doit être confirmé. Les frais d'appel, fixés à 990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