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457 vom 28. Mai 2020</w:t>
      </w:r>
    </w:p>
    <w:p>
      <w:r>
        <w:t>VD Tribunal cantonal, 2020-05-28, FR</w:t>
      </w:r>
    </w:p>
    <w:p>
      <w:r>
        <w:rPr>
          <w:b/>
        </w:rPr>
        <w:t xml:space="preserve">Quelle: </w:t>
      </w:r>
      <w:r>
        <w:t>https://mcp.opencaselaw.ch/entscheid/vd_findinfo_Jug___2020___457</w:t>
      </w:r>
    </w:p>
    <w:p>
      <w:r>
        <w:t>FR: VD_FINDINFO Jug / 2020 / 457 du 28 mai 2020</w:t>
      </w:r>
    </w:p>
    <w:p>
      <w:r>
        <w:t>IT: VD_FINDINFO Jug / 2020 / 457 del 28 maggio 2020</w:t>
      </w:r>
    </w:p>
    <w:p>
      <w:pPr>
        <w:pStyle w:val="Heading2"/>
      </w:pPr>
      <w:r>
        <w:t>Regeste</w:t>
      </w:r>
    </w:p>
    <w:p>
      <w:r>
        <w:t>VOL{DROIT PÉNAL}, PAR MÉTIER, VIOLATION DES RÈGLES DE LA CIRCULATION, BRIGANDAGE, EXPULSION{DROIT PÉNAL}, DÉPENDANCE{MALADIE} | 123 ch. 1 CP, 139 ch. 2 CP, 140 ch. 1 CP, 90 al. 1 LCR, 92 al. 1 LCR, 95 al. 1 let. a LCR</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A.________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a requis l’audition de sa mère comme témoin, au motif qu’elle serait en mesure de donner des détails en lien avec les éléments développés dans son appel sur la quotité de la peine et sur l’expulsion.</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En l’espèce, on ne voit pas en quoi les éventuelles déclarations de la mère de l’appelant seraient en mesure d’influencer l’issue de la cause. L’appelant ne l’explique d’ailleurs pas. Ce témoignage n’est pas utile pour apprécier les éléments nouveaux invoqués par l’appelant, en particulier en lien avec la promesse d’embauche de son cousin, le fait qu’il se serait réconcilié avec sa famille ou qu’il aurait résolu ses problèmes d’alcool depuis qu’il est en détention, ces faits pouvant être admis. Par conséquent, la réquisition de preuve de l’appelant est inutile et doit être rejetée.</w:t>
      </w:r>
    </w:p>
    <w:p>
      <w:r>
        <w:rPr>
          <w:b/>
        </w:rPr>
        <w:t>E. 4.1</w:t>
      </w:r>
    </w:p>
    <w:p>
      <w:r>
        <w:t>Invoquant une violation du principe in dubio pro reo , l’appelant conteste être l’auteur des évènements le 21 avril 2019 en tant qu’ils concernent le véhicule Skoda Octavia (cf. supra ch. 2.3) et la villa de W.________ (cf. supra ch. 2.4). A cet égard, il explique avoir reconnu la quasi-totalité des faits à l’exception de ces deux cas.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 e éd., Bâle 2019, n. 34 ad art. 10 CPP).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4.3.1</w:t>
      </w:r>
    </w:p>
    <w:p>
      <w:r>
        <w:t>S’agissant des évènements du 21 avril 2019 en lien avec le véhicule Skoda Octavia, le prévenu explique qu’il était dans le véhicule, mais conteste l’avoir volé et conduit au moment de l’accident. Il relève également que seul son sang a été analysé et que la présence d’un autre ADN ne pourrait ainsi pas être exclue. On peut lire les déclarations de l’appelant protocolées lors de son audition d’arrestation (cf. PV aud. 4) pour comprendre que celui-ci ne cesse de mentir et l’ensemble de ses déclarations pour voir qu’il est difficile et peu collaborant. Il a affirmé au départ que cet épisode avec la Skoda ne lui disait rien (PV aud. 4, R. 15). Confronté au fait que son ADN avait été retrouvé sur l’airbag conducteur du véhicule, il a expliqué que cela ne voulait pas forcément dire que c’était lui, qu’il ne savait pas qui cela pouvait être, qu’en fait, il savait qui c’était, mais qu’il ne voulait pas le dire, qu’il avait conduit ce véhicule sur une dizaine de mètres, mais qu’il ne l’avait en revanche ni volé, ni accidenté et qu’il était présent lors de l’accident. Il a précisé qu’il avait croisé son ami un soir, alors qu’il était au volant de la voiture en question (cf. PV aud. 4, R. 15). Lors d’une audition ultérieure du 23 décembre 2019, il a expliqué qu’il était présent lors du vol, mais qu’il n’avait pas conduit cette voiture (PV aud. 10, lignes 36-37). Interpellé sur le fait qu’il avait précédemment admis l’avoir conduite, il a reconnu l’avoir conduite sur cinq mètres, mais qu’il ne se trouvait pas au volant lors de l’accident et qu’il était passager avant (PV aud. 10, lignes 39-40). Lors des débats, il a expliqué qu’il était monté dans la voiture en question à [...], qu’il s’était assis au volant pour voir comment c’était et qu’il n’avait pas conduit (jugement p. 9). A l’audience d’appel, il a dit être monté dans ce véhicule « entre [...]». Il est évident que l’appelant ne cesse de mentir. Ses déclarations au sujet d’une autre personne conduisant le véhicule sont farfelues ; il ne veut pas donner le nom de ce conducteur providentiel, alors que celui-ci lui aurait pourtant tendu un guet-apens s’agissant des événements concernant la villa de W.________ (cf. infra consid. 4.3.2). De plus, selon ses premières déclarations, il s’agirait d’un ami croisé dans la rue, puis qui serait venu le chercher à [...], puis « entre [...] », alors que le prévenu se trouvait bel et bien à [...] le soir des faits, celui-ci ayant finalement admis les faits qui lui sont reprochés concernant la BMW, la Lamborghini et le scooter (cf. supra ch. 2.2, jugement p. 8) . De plus, on sait que la Skoda a été retrouvée très peu de temps après son vol et à 20 km de son lieu de stationnement par son propriétaire (cf. P. 70). Enfin, l’ADN de l’appelant a été retrouvé sur l’airbag du conducteur et sur la porte avant droite à l’extérieur (cf. P. 19, p. 19 et P. 41, p. 28), éléments qui confirment qu’il était bel et bien le conducteur, ses explications étant dénuées de toute crédibilité. On relèvera qu’il ressort du rapport de police du 30 septembre 2019 que seul l’ADN de l’appelant a été retrouvé sur/dans le véhicule abandonné (P. 41, p. 28). Dans la mesure où il est retenu que c’est bien l’appelant qui a causé l’accident, il n’y a pas lieu de revenir sur l’indemnité allouée à E.________ pour la réparation de son dommage matériel et de renvoyer l’intéressé à agir devant le juge civil comme requis par l’appelant (cf. conclusion VI de l’appel). On relèvera à cet égard que l’appelant n’indique pas en quoi le montant alloué par les premiers juges serait erroné (cf. jugement, pp. 38-39).</w:t>
      </w:r>
    </w:p>
    <w:p>
      <w:r>
        <w:rPr>
          <w:b/>
        </w:rPr>
        <w:t>E. 4.3.2</w:t>
      </w:r>
    </w:p>
    <w:p>
      <w:r>
        <w:t>S’agissant des événements en lien avec la villa de W.________, les premiers juges ont retenu que la bouteille en PET retrouvée dans ce logement avec les empreintes de l’appelant s’y trouvait déjà avant le cambriolage. Or selon l’appelant on ne pourrait pas retenir que la bouteille en question se trouvait déjà dans l’habitation et explique que ce serait le conducteur de la Skoda qui aurait déposé sur les lieux, en évidence sur une chaise, dite bouteille pour le faire accuser. Il résulte du rapport d’investigation du 27 mai 2019 (P. 15/1) qu’une bouteille en PET, qui se trouvait dans un sac déposé dans la salle à manger de l’habitation et fouillé par le ou les auteurs, a été découverte sur une chaise. Elle a été transmise par les intervenants pour une recherche de traces, qui a permis d’identifier l’appelant par traces digitales (cf. P. 15/1 et P. 15/2, cf. ég. P. 19, p. 16 et P. 41, p. 22). Les policiers ont procédé à leurs investigations en se basant sur les déclarations des parties plaignantes et non pas en inventant cette histoire de bouteille sortie d’un sac fouillé à l’intérieur du domicile. De plus, on sait que l’appelant ment lorsqu’il explique qu’il était avec un soi-disant ami, qui l’aurait, en définitive, piégé, ses déclarations à ce sujet ayant varié à plusieurs reprises (cf. supra consid. 4.3.1). Enfin, la voiture volée à [...] entre 4 h 50 et 6 h 30 a été retrouvée accidentée et abandonnée le jour-même à 7 h 15 à [...] (P. 70), lieu où se sont déroulés les vols commis dans la villa de W.________.</w:t>
      </w:r>
    </w:p>
    <w:p>
      <w:r>
        <w:rPr>
          <w:b/>
        </w:rPr>
        <w:t>E. 5.1</w:t>
      </w:r>
    </w:p>
    <w:p>
      <w:r>
        <w:t>L’appelant reproche aux premiers juges d’avoir considéré qu’il s’était rendu coupable de vol plutôt que de vol d’usage s’agissant des événements en lien avec les véhicules mentionnés sous ch. 2.2 à 2.4 ci-dessus. Selon l’appelant, rien ne permettrait de conclure qu’il entendait faire autre chose que de rouler brièvement avec les véhicules, comme il l’avait fait avec le scooter, et relève qu’il n’est d’ailleurs pas titulaire d’un permis de conduire.</w:t>
      </w:r>
    </w:p>
    <w:p>
      <w:r>
        <w:rPr>
          <w:b/>
        </w:rPr>
        <w:t>E. 5.2</w:t>
      </w:r>
    </w:p>
    <w:p>
      <w:r>
        <w:t>Conformément à l'art. 94 al. 1 LCR (loi fédérale sur la circulation routière du 19 décembre 1958 ; RS 741.01), est puni d'une peine privative de liberté de trois ans au plus ou d'une peine pécuniaire celui qui soustrait un véhicule automobile dans le dessein d'en faire usage (let. a). Le dessein d’usage est un élément constitutif subjectif antagoniste du dessein d’appropriation qui caractérise le vol de l’art. 139 CP (Code pénal suisse du 21 décembre 1937 ; RS 311.0). L’infraction est réalisée même sans usage effectif, tant et aussi longtemps que l’utilisation du véhicule faisait partie du projet poursuivi par l’auteur au moment de la soustraction. Lorsque le dessein ne pourra pas être mis en évidence par le comportement de l’auteur après la soustraction (en particulier si l’activité coupable a cessé sitôt après), on devra retenir que l’auteur entendait circuler avec le véhicule et non pas l’incorporer dans son patrimoine, ce qui serait constitutif de vol selon l’art. 139 CP. Le fait de garder le véhicule à sa disposition pour un temps indéterminé pourra manifester le dessein d’appropriation, tout comme l’utilisation d’un véhicule durant dix jours à travers trois pays différents et interrompue par l’arrestation des auteurs (Bussy/Rusconi/Jeanneret/Kuhn/Mizel/Müller, Code suisse de la circulation routière commenté, 4 e éd., Lausanne 2014, n. 1.4 ad art. 94 LCR).</w:t>
      </w:r>
    </w:p>
    <w:p>
      <w:r>
        <w:rPr>
          <w:b/>
        </w:rPr>
        <w:t>E. 5.3</w:t>
      </w:r>
    </w:p>
    <w:p>
      <w:r>
        <w:t>Le 21 avril 2019, l’appelant a démarré à bord d’une Lamborghini, a reculé sur une dizaine de mètres dans un champ et, dérangé par les habitants, est finalement sorti du véhicule et s’est enfui en direction de [...] à bord d’un scooter (cf. supra ch. 2.2). La même nuit, toujours dans cette localité, il est établi – quand bien même il le conteste (cf. supra consid. 4.3.1) – qu’il a dérobé une Skoda, qui a été retrouvée accidentée et abandonnée le jour-même à [...] (cf. supra ch. 2.3). Dans ce village et agissant toujours le 21 avril 2019, il a volé une Peugeot (cf. supra ch. 2.4), véhicule qui n’avait toujours pas été retrouvé fin septembre 2019, soit lorsque la police a rédigé son rapport d’investigation (P. 41, p. 24). Le 10 juillet 2019, à [...], l’appelant a tenté de s’enfuir à bord d’une Ford, mais a finalement dû laisser le véhicule devant le portail de la villa, qui est resté fermé (cf. supra ch. 2.5). On constate que la Peugeot volée dans la nuit du 21 avril 2019 n’a pas été retrouvée, ce qui, quoi qu’il en dise, démontre une appropriation de la part du prévenu, qui doit donc être condamné pour vol et non pas pour vol d’usage. Il est donc clair que le but de l’intéressé durant cette nuit était de s’approprier un ou plusieurs véhicules. L’appelant étant un voleur, on doit admettre que tel était également son intention s’agissant de la Ford de D.________, qu’il a finalement dû laisser sur place en raison de circonstances extérieures à sa volonté. L’appréciation des premiers juges selon laquelle A.________ s’est rendu coupable de vol plutôt que de vol d’usage doit dès lors être confirmée. On relèvera que, s’agissant de la Ford, la tentative ne peut pas être retenue (cf. infra consid. 6.2.2).</w:t>
      </w:r>
    </w:p>
    <w:p>
      <w:r>
        <w:rPr>
          <w:b/>
        </w:rPr>
        <w:t>E. 6.1</w:t>
      </w:r>
    </w:p>
    <w:p>
      <w:r>
        <w:t>L’appelant fait grief aux premiers juges d’avoir retenu la circonstance aggravante du métier s’agissant de l’infraction de vol. Il fait valoir que la fréquence des actes n’était pas si élevée, qu’il ne serait pas établi qu’il entendait tirer le moindre revenu des vols de véhicules, qu’il était ivre et sous l’effet de stupéfiants et que son butin serait maigre.</w:t>
      </w:r>
    </w:p>
    <w:p>
      <w:r>
        <w:rPr>
          <w:b/>
        </w:rPr>
        <w:t>E. 6.2.1</w:t>
      </w:r>
    </w:p>
    <w:p>
      <w:r>
        <w:t>Conformément à l'art. 139 ch. 2 CP, le vol est puni d'une peine privative de liberté de dix ans au plus ou d'une peine pécuniaire de nonante jours-amende au moins si son auteur en fait métier.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JdT 1994 I 796 ).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(art. 19 al. 2 let. c LStup ; art. 305bis ch. 2 let. c CP ; cf. ATF 129 IV 188 consid. 3.1.2, SJ 2003 I 303, JdT 2004 IV 42), l'aggravation du vol par métier n'exige ni chiffre d'affaires ni gain importants (TF 6B_1043/2017 du 4 août 2018 consid. 1.1).</w:t>
      </w:r>
    </w:p>
    <w:p>
      <w:r>
        <w:rPr>
          <w:b/>
        </w:rPr>
        <w:t>E. 6.2.2</w:t>
      </w:r>
    </w:p>
    <w:p>
      <w:r>
        <w:t>Le fait que l’auteur de vols agisse par métier (art. 139 ch. 2 CP) constitue une circonstance aggravante au sens de l’art. 27 CP (Dupuis et al., Petit commentaire du Code pénal, 2 e éd., Bâle 2017, n. 6 ad art. 27 CP). Lorsque la qualification de vol par métier s’applique, il n’est pas possible de retenir également la tentative de vol, dès lors que l’aggravante exclut le concours entre les vols commis. La tentative est alors absorbée par le délit consommé par métier (Dupuis et al., op. cit., n. 8 ad art. 22 CP et les réf. citées).</w:t>
      </w:r>
    </w:p>
    <w:p>
      <w:r>
        <w:rPr>
          <w:b/>
        </w:rPr>
        <w:t>E. 6.3</w:t>
      </w:r>
    </w:p>
    <w:p>
      <w:r>
        <w:t>L’appelant a commis plusieurs vols durant la nuit du 21 avril 2019, agissant dans deux localités distinctes, avant de renouveler ses agissements le 10 juillet 2019 dans deux logements différents, puis à nouveau le 3 août 2019. Il a ainsi agi à six reprises dans un intervalle de moins de quatre mois. Il s’est approprié des véhicules, de l’argent, des ordinateurs et autres objets pour des valeurs conséquentes. Seule son arrestation a mis fin à son activité délictueuse, étant encore précisé qu’à ce moment-là l’intéressé était sans emploi et émargeait à l’aide sociale. Enfin, son casier comporte plusieurs autres inscriptions pour vol. Dans ces conditions, l’aggravante du métier doit bel et bien être retenue.</w:t>
      </w:r>
    </w:p>
    <w:p>
      <w:r>
        <w:rPr>
          <w:b/>
        </w:rPr>
        <w:t>E. 7.1</w:t>
      </w:r>
    </w:p>
    <w:p>
      <w:r>
        <w:t>L’appelant conteste la quotité de la peine prononcée. En particulier, il reproche aux premiers juges d’avoir méconnu les circonstances dans lesquelles les violences étaient intervenues. Il fait également grief à l’autorité précédente de ne pas avoir tenu compte de sa responsabilité restreinte s’agissant des violences commises à l’endroit de M.________ (cf. supra ch. 2.8), de T.________ et d’L.________ (cf. supra ch. 2.7) et de ses problèmes d’alcool et de drogues.</w:t>
      </w:r>
    </w:p>
    <w:p>
      <w:r>
        <w:rPr>
          <w:b/>
        </w:rPr>
        <w:t>E. 7.2</w:t>
      </w:r>
    </w:p>
    <w:p>
      <w:r>
        <w:t>et 7.3 et les réf. citées ; TF 6B_1243/2016 du 13 décembre 2016 consid. 2.4).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16 juin 2020/205 consid. 6.2 ; CAPE 28 mars 2019/92 consid. 5.2 et les réf. citées, notamment CAPE 18 août 2016/357 consid. 4.2 ; CAPE 18 novembre 2013 consid. 4.2).</w:t>
      </w:r>
    </w:p>
    <w:p>
      <w:r>
        <w:rPr>
          <w:b/>
        </w:rPr>
        <w:t>E. 7.2.1</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JdT 2016 I 169 ; ATF 141 IV 61 consid. 6.1.1 et les réf. citées ; TF 6B_1463/2019 du 20 février 2020 consid. 2.1.1).</w:t>
      </w:r>
    </w:p>
    <w:p>
      <w:r>
        <w:rPr>
          <w:b/>
        </w:rPr>
        <w:t>E. 7.2.2</w:t>
      </w:r>
    </w:p>
    <w:p>
      <w:r>
        <w:t>Selon l’art. 19 al. 2 CP, le juge atténue la peine si, au moment d'agir, l'auteur ne possédait que partiellement la faculté d'apprécier le caractère illicite de son acte ou de se déterminer d'après cette appréciation.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 ATF 119 IV 120 consid. 2b, JdT 1994 I 779). Il ne s'agit là toutefois que de présomptions qui peuvent être renversées dans un cas donné en raison d'indices contraires (TF ATF 122 IV 49 consid. 1b ; TF 6B_1297/2017 du 26 juillet 2018 consid. 7.1). L'état psychopathologique est décisif. Il faut examiner le comportement de l'auteur avant, pendant et après la commission de l'acte (TF 6B_960/2009 du 30 mars 2010 consid. 1.3).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(TF 6B_1222/2018 du 3 mai 2019 consid. 2.2 ; TF 6B_987/2017 du 12 février 2018 consid. 1.1 et les réf. citées).</w:t>
      </w:r>
    </w:p>
    <w:p>
      <w:r>
        <w:rPr>
          <w:b/>
        </w:rPr>
        <w:t>E. 7.2.3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7.3.1</w:t>
      </w:r>
    </w:p>
    <w:p>
      <w:r>
        <w:t>S’agissant des violences contre T.________ et L.________, l’appelant est clairement l’agresseur, aucune provocation ne pouvant être reprochée aux deux lésés au regard du comportement de l’intéressé. On peut à ce sujet se fonder sur les déclarations claires et crédibles d’L.________ lors de son audition du 5 août 2019 puisque celui-ci ne connaissait absolument pas ses agresseurs et n’a d’ailleurs pas souhaité déposer plainte. Il a en substance expliqué qu’une fois à l’extérieur de la banque, il avait rejoint son frère, sous un abri. Un jeune homme était arrivé et avait commencé à dire des gros mots en portugais. Son frère, qui ne parle pas français, avait répondu sur un peu un ton agressif. L.________ avait alors expliqué à cet homme qu’ils ne voulaient pas de problèmes et que son frère ne parlait pas le français. Il avait tenté de calmer les choses. Un deuxième individu était ensuite arrivé, avec une posture agressive. Il criait en demandant à L.________ de traduire ce que son frère disait. L.________ avait ensuite reçu une baffe du premier individu et était tombé après avoir reçu un coup de pied dans les jambes. Une fois au sol, il s’était protégé la tête et avait reçu plusieurs coups de pied au niveau des côtes, précisant à cet égard avoir encore mal aujourd’hui. Lorsqu’il s’était relevé, L.________ avait vu que son frère était au sol et que le deuxième individu était au-dessus de lui, l’intéressé ayant dû se rendre à l’hôpital en raison d’une luxation de l’épaule. L.________ a précisé être tombé deux fois au sol, puisqu’après s’être relevé et avoir tenté de porter secours à son frère, il s’était fait agresser à nouveau par le même individu, ce qui l’avait fait tomber (cf. PV. aud. 1, dossier B, R. 5). Au regard de ces déclarations, aucune circonstance ne parle en faveur de l’appelant. Il en va de même des agissements de l’appelant contre M.________, celui-ci s’étant uniquement défendu, alors qu’on cambriolait sa villa et après avoir reçu un premier coup de poing au visage (cf. supra ch. 2.8). Là encore, on ne discerne aucune circonstance à décharge du prévenu dans le cadre de l’appréciation de la peine.</w:t>
      </w:r>
    </w:p>
    <w:p>
      <w:r>
        <w:rPr>
          <w:b/>
        </w:rPr>
        <w:t>E. 7.3.2</w:t>
      </w:r>
    </w:p>
    <w:p>
      <w:r>
        <w:t>Le prévenu aime à répéter qu’il était alcoolisé, cet état lui servant en définitive d’excuse constante à tous ses actes. Reste que, dans la nuit du 21 avril 2019, il n’est jamais tombé ivre mort, mais a, au contraire, pu poursuivre ses infractions dans deux localités différentes, ce qui démontre une certaine volonté et énergie. On sait que même une fois accidenté au volant de la voiture volée à [...], il a poursuivi son périple et ses infractions. Aucun élément ne permet de douter de sa pleine responsabilité pour ces actes. On tiendra toutefois compte pour les faits décrits sous ch. 2.2 à 2.7 de ses dépendances dans le cadre de l’application de l’art. 47 CP. En revanche, on peut admettre une légère diminution de responsabilité pour les événements survenus au matin du 3 août 2019 (cf. supra ch. 2.8 et 2.9). En effet, selon le rapport de police du 4 août 2019, l’appelant a été soumis à un test à l’éthylomètre, qui a révélé un taux de 0.94 mg/l à 6 h 46, ainsi qu’à un contrôle « DrugWip », qui a réagi à une consommation de cocaïne (cf. P. 19, p. 12).</w:t>
      </w:r>
    </w:p>
    <w:p>
      <w:r>
        <w:rPr>
          <w:b/>
        </w:rPr>
        <w:t>E. 7.4.1</w:t>
      </w:r>
    </w:p>
    <w:p>
      <w:r>
        <w:t>L’appelant s’est rendu coupable de lésions corporelles simples, vol par métier, brigandage, dommages à la propriété, injure, menaces, violation de domicile, violation simple des règles de la circulation routière, violation des obligations en cas d’accident, conduite sans être titulaire du permis de conduire et contravention à la LStup.</w:t>
      </w:r>
    </w:p>
    <w:p>
      <w:r>
        <w:rPr>
          <w:b/>
        </w:rPr>
        <w:t>E. 7.4.2</w:t>
      </w:r>
    </w:p>
    <w:p>
      <w:r>
        <w:t>A charge, on retiendra que le prévenu a déjà de nombreux antécédents, principalement pour des faits similaires, sans que cela semble avoir eu un effet sur lui, l’intéressé ayant d’ailleurs été condamné le 18 avril 2019, soit trois jours avant les vols du 21 avril 2019. Par ailleurs, on constate que l’appelant paraît ancré dans la délinquance et que les infractions deviennent de plus en plus graves, dès lors qu’il s’en prend désormais aux personnes. S’il a admis une grande partie des faits, son comportement n’a pas été exemplaire pendant la procédure puisqu’il s’est parfois montré peu collaborant et s’est emporté à plusieurs reprises devant la police (cf. p. ex. PV aud. 8, R. 17 ss). A décharge, on retiendra qu’il est relativement jeune, qu’il a des problèmes de dépendances, qu’il a reconnu la majorité des faits, qu’il a présenté ses excuses aux plaignants présents aux débats et a admis les prétentions civiles formulées par M.________ et D.________. Au final, la culpabilité du prévenu doit être considérée comme lourde à très lourde.</w:t>
      </w:r>
    </w:p>
    <w:p>
      <w:r>
        <w:rPr>
          <w:b/>
        </w:rPr>
        <w:t>E. 7.4.3</w:t>
      </w:r>
    </w:p>
    <w:p>
      <w:r>
        <w:t>L’infraction abstraitement la plus grave est le brigandage, laquelle mérite d’être réprimée par une peine privative de liberté d’une année, qui, en tenant compte d’une responsabilité légèrement diminuée s’agissant des événements survenus au matin du 3 août 2019, sera augmentée d’une année pour le vol par métier, de quatre mois pour les lésions corporelles simples, d’un mois pour les dommages à la propriété, d’un mois pour les menaces, de deux mois pour la violation de domicile et de deux mois pour la conduite sans être titulaire du permis de conduire. Au final, la peine privative de liberté infligée sera de trente-quatre mois.</w:t>
      </w:r>
    </w:p>
    <w:p>
      <w:r>
        <w:rPr>
          <w:b/>
        </w:rPr>
        <w:t>E. 8.1</w:t>
      </w:r>
    </w:p>
    <w:p>
      <w:r>
        <w:t>L’appelant fait grief à l’autorité de première instance de ne pas avoir assorti la peine privative de liberté du sursis partiel.</w:t>
      </w:r>
    </w:p>
    <w:p>
      <w:r>
        <w:rPr>
          <w:b/>
        </w:rPr>
        <w:t>E. 8.2</w:t>
      </w:r>
    </w:p>
    <w:p>
      <w:r>
        <w:t>L'art. 43 al. 1 CP prévoit que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Pour émettre ce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(ATF 134 IV 140 consid. 4.2 ; TF 6B_166/2017 du 16 novembre 2017 consid. 4.1).</w:t>
      </w:r>
    </w:p>
    <w:p>
      <w:r>
        <w:rPr>
          <w:b/>
        </w:rPr>
        <w:t>E. 8.3</w:t>
      </w:r>
    </w:p>
    <w:p>
      <w:r>
        <w:t>En l’espèce, le pronostic est défavorable, ce qui exclut l’octroi de tout sursis. Certes, l’appelant a admis certains faits lors de l’audience de première instance ; il a, dans ces cas, cependant toujours cherché à se dédouaner en invoquant ses problèmes d’alcool. Il a également persisté à nier certaines infractions, malgré les éléments à charge. Le prévenu est maintenant en détention depuis plusieurs mois, mais on ne peut que douter de l’effet de choc de cette détention sur sa personne. En effet, ce dernier, qui est né le [...] 1998, a déjà sept inscriptions à son casier judiciaire. Il a déjà été condamné à des peines privatives de liberté. En particulier, on peut rappeler qu’il a été condamné le 18 avril 2019 à une peine privative de liberté de cent-vingt jours et qu’il a récidivé dès le 21 avril 2019, ce qui démontre l’absence d’effet des sanctions prononcées.</w:t>
      </w:r>
    </w:p>
    <w:p>
      <w:r>
        <w:rPr>
          <w:b/>
        </w:rPr>
        <w:t>E. 9.1</w:t>
      </w:r>
    </w:p>
    <w:p>
      <w:r>
        <w:t>L’appelant conteste son expulsion. A cet égard, il fait valoir qu’il n’aurait pas de famille dans son pays d’origine et qu’il n’aurait aucune chance de s’y’intégrer. Il relève être arrivé en Suisse à l’âge de quatre ans, y avoir vécu pendant plus de dix-huit ans, s’être réconcilié avec ses parents et ses frère et sœur, avoir pris conscience de ses actes et avoir des possibilités de réinsertion en Suisse, en reprenant un emploi dans la société de plâtrerie-peinture de son cousin.</w:t>
      </w:r>
    </w:p>
    <w:p>
      <w:r>
        <w:rPr>
          <w:b/>
        </w:rPr>
        <w:t>E. 9.2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6B_1417/2019, déjà cité, consid. 2.1.1 ; TF 6B_50/2020 du 3 mars 2020 consid. 1.3.1). L'expulsion d'un individu étant né et ayant passé toute son existence en Suisse, jusqu'à l'âge adulte, ne peut que causer à celui-ci une atteinte à son droit au respect de sa vie privée, cela indépendamment de sa situation personnelle et familiale (cf. TF 6B_153/2020 du 28 avril 2020 consid. 1.3.4). L'examen de la clause de rigueur doit être effectué dans chaque cas sur la base des critères d'intégration habituels (cf. ATF 144 IV 332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6B_153/2020, déjà cité, consid. 1.4.1 ; TF 6B_1417/2019, déjà cité, consid. 2.1.3).</w:t>
      </w:r>
    </w:p>
    <w:p>
      <w:r>
        <w:rPr>
          <w:b/>
        </w:rPr>
        <w:t>E. 9.3</w:t>
      </w:r>
    </w:p>
    <w:p>
      <w:r>
        <w:t>En l’espèce, si l’appelant vit en Suisse depuis plusieurs années et y a sa famille, il n’y est toutefois pas intégré socialement. Ainsi, il n’a pas obtenu de diplôme de fin de scolarité, n’a jamais terminé d’apprentissage, n’a jamais eu un emploi en dehors de stages et émargeait aux services sociaux lors de son arrestation. Il était également sans domicile fixe et en froid avec ses parents, avant de se réconcilier au cours de la procédure pénale, et faisait l’objet de poursuites pour un montant de 8'995 fr. 30. Il n’a ni enfant, ni conjoint en Suisse. Il parle le bosnien et s’est rendu deux fois en Bosnie en 2019 (cf. PV aud. 8, R. 11) pour voir sa grand-mère. Au regard de ces éléments, on ne peut affirmer que l’intégration du prévenu en Bosnie sera plus difficile qu’en Suisse. L’attestation rédigée par la famille du prévenu – à l’exception de son père (cf. P. 135/3) – n’est pas pertinente. Il en va de même de la promesse d’embauche du cousin de l’appelant (P. 135/1), dans la mesure où l’intéressé a déjà travaillé dans le même domaine – d’ailleurs avec son cousin – sans que cela l’empêche de commettre des infractions ni lui permette de s’insérer professionnellement et d’être autonome financièrement. Par ailleurs, l’intérêt public à l’expulsion l’emporte sur l’intérêt privé du prévenu à pouvoir demeurer en Suisse. En effet, ce dernier a de nombreux antécédents et s’est installé dans la délinquance depuis son plus jeune âge. Le pronostic le concernant est défavorable. Enfin, sa violence va crescendo au regard des infractions commises dans la présente cause. Dans ces circonstances, l’expulsion et la durée de celle-ci doivent être confirmées.</w:t>
      </w:r>
    </w:p>
    <w:p>
      <w:r>
        <w:rPr>
          <w:b/>
        </w:rPr>
        <w:t>E. 10</w:t>
      </w:r>
    </w:p>
    <w:p>
      <w:r>
        <w:t>juin 2020. L’appelant se réfère à l’arrêt TF 1B_308/2020 du 18 juin 2020 pour en déduire que la jurisprudence tient désormais compte de la crise sanitaire comme circonstance aggravante.</w:t>
      </w:r>
    </w:p>
    <w:p>
      <w:r>
        <w:rPr>
          <w:b/>
        </w:rPr>
        <w:t>E. 10.1</w:t>
      </w:r>
    </w:p>
    <w:p>
      <w:r>
        <w:t>L’appelant conteste la quotité de la réduction de la peine privative de liberté en raison de la détention dans des conditions illicites. Il reproche aux premiers juges de ne pas avoir tenu compte des effets de la crise sanitaire sur les conditions de détention et du fait qu’il aurait dû être en exécution anticipée de peine dès le 7 février 2020 et qu’il n’a été transféré à la Prison de la Croisée que le</w:t>
      </w:r>
    </w:p>
    <w:p>
      <w:r>
        <w:rPr>
          <w:b/>
        </w:rPr>
        <w:t>E. 10.2.1</w:t>
      </w:r>
    </w:p>
    <w:p>
      <w:r>
        <w:t>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consid. 6.5.1 ; TF 6B_1395/2016 du 27 octobre 2017 consid. 1.1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déjà cité, consid.</w:t>
      </w:r>
    </w:p>
    <w:p>
      <w:r>
        <w:rPr>
          <w:b/>
        </w:rPr>
        <w:t>E. 10.2.2</w:t>
      </w:r>
    </w:p>
    <w:p>
      <w:r>
        <w:t>Dans l’arrêt du 18 juin 2020 auquel se réfère l’appelant, le Tribunal fédéral a déclaré irrecevable un recours dirigé contre un arrêt de la Chambre des recours pénale qui renvoyait la cause au Tribunal des mesures de contrainte pour qu’il détermine depuis quand s'appliquait le nouveau régime de détention, et si celui-ci était admissible depuis cette date, et relevait que depuis la crise liée au Covid-19, le recourant travaillait avec son codétenu, ce qui augmentait le temps passé en commun en cellule (cf. consid. 1.2).</w:t>
      </w:r>
    </w:p>
    <w:p>
      <w:r>
        <w:rPr>
          <w:b/>
        </w:rPr>
        <w:t>E. 10.3</w:t>
      </w:r>
    </w:p>
    <w:p>
      <w:r>
        <w:t>L’appelant a été détenu, dans des conditions illicites à la Prison du Bois-Mermet entre le 21 octobre 2019 et le 29 avril 2020. A cet égard, le Tribunal des mesures de contrainte a constaté, dans son ordonnance du 20 mai 2020, que, après réduction des espaces sanitaires, l’espace individuel était de 3,96 m 2 , que les sanitaires de la cellule n’étaient pas séparés par des cloisons solides, mais uniquement par un rideau ignifuge, que le bâtiment était mal isolé thermiquement et que le prévenu était détenu sous le régime de détention avant jugement, de sorte qu’il n’avait pas accès au régime de travail et devait ainsi demeurer confiné en cellule au moins 21 heures par jour. Il résulte des constatations précitées que la surface se situait entre 3 m 2 et 4 m 2 et que plusieurs circonstances aggravantes étaient réalisées, ce qui justifie d’opérer une réduction d’un quart, conformément à ce qui a été fait par les premiers juges. La pénibilité accrue en raison de la détention durant la période de confinement doit être considérée comme une circonstance aggravante supplémentaire, laquelle ne donne pas lieu à une diminution supplémentaire au regard de la jurisprudence exposée ci-dessus. Le fait que le prévenu soit passé plus tardivement que prévu sous le régime de l’exécution anticipée de peine ne constitue pas une violation de l’art. 3 CEDH (cf. TF 1B_317/2017 du</w:t>
      </w:r>
    </w:p>
    <w:p>
      <w:r>
        <w:rPr>
          <w:b/>
        </w:rPr>
        <w:t>E. 15</w:t>
      </w:r>
    </w:p>
    <w:p>
      <w:r>
        <w:t>août 2017 consid. 2.2.2). 11. 11.1 Au vu de ce qui précède, l’appel doit être rejeté et le jugement entrepris confirmé. 11.2 Selon l'art. 135 al. 1 CPP, le défenseur d'office est indemnisé conformément au tarif des avocats de la Confédération ou du canton du for du procès. Dans le Canton de Vaud, le tarif horaire de l’avocat d’office breveté est fixé à 180 fr.,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 la liste des opérations du 16 novembre 2020 (P. 126). Il s’ensuit que l’indemnité de Me Vincent Demierre peut être arrêtée à 2'610 fr. ([ 14 h 30 {y. c. 1 h d’audience}] x 180 fr.), montant auquel s’ajoutent 240 fr. pour deux forfaits de vacation (art. 3bis al. 3 RAJ), les débours forfaitaires de 52 fr. 20 (2'610 fr. x 2 %) et la TVA de 7.7 % sur le tout, par 223 fr. 45, ce qui donne un total de 3'125 fr. 65. 11.3 Vu l’issue de la cause, les frais de la procédure d’appel, par 7'125 fr. 65, constitués de l’émolument d’audience et de jugement, par 4'000 fr. (art. 21 al. 1 et 2 TFIP), ainsi que de l’indemnité allouée au défenseur d’office de l’appelant, par 3'125 fr. 65, seront mis à la charge de l’appelant A.________ (art. 428 al. 1 CPP). L’appelant ne sera toutefois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