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453 vom 17. Juni 2020</w:t>
      </w:r>
    </w:p>
    <w:p>
      <w:r>
        <w:t>VD Tribunal cantonal, 2020-06-17, FR</w:t>
      </w:r>
    </w:p>
    <w:p>
      <w:r>
        <w:rPr>
          <w:b/>
        </w:rPr>
        <w:t xml:space="preserve">Quelle: </w:t>
      </w:r>
      <w:r>
        <w:t>https://mcp.opencaselaw.ch/entscheid/vd_findinfo_Jug___2020___453</w:t>
      </w:r>
    </w:p>
    <w:p>
      <w:r>
        <w:t>FR: VD_FINDINFO Jug / 2020 / 453 du 17 juin 2020</w:t>
      </w:r>
    </w:p>
    <w:p>
      <w:r>
        <w:t>IT: VD_FINDINFO Jug / 2020 / 453 del 17 giugno 2020</w:t>
      </w:r>
    </w:p>
    <w:p>
      <w:pPr>
        <w:pStyle w:val="Heading2"/>
      </w:pPr>
      <w:r>
        <w:t>Regeste</w:t>
      </w:r>
    </w:p>
    <w:p>
      <w:r>
        <w:t>EXPULSION{DROIT PÉNAL} | 66a al. 1 let. d CP, 66a al. 2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a retiré ses conclusions portant sur la qualification des faits, la quotité de la peine et la réparation du mort moral. Seule demeure litigieuse son expulsion, prononcée pour une durée de dix ans (ch. XVI du dispositif). Le prévenu fait grief aux premiers juges de ne pas avoir retenu que l’expulsion le placerait dans une situation personnelle grave.</w:t>
      </w:r>
    </w:p>
    <w:p>
      <w:r>
        <w:rPr>
          <w:b/>
        </w:rPr>
        <w:t>E. 4.1</w:t>
      </w:r>
    </w:p>
    <w:p>
      <w:r>
        <w:t>Selon l'art. 66a al. 1 let. d CP, le juge expulse de Suisse l'étranger qui est condamné pour vol (art. 139 CP) en lien avec une violation de domicile (art. 186 CP),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Fiolka/Vetterli, Die Landesverweisung nach Art. 66a StGB als strafrechtliche Sanktion, in : Plädoyer 5/2016 p. 84). Peu importe également que le degré de réalisation des infractions soit demeuré limité à la tentative. En effet, l’expulsion selon l’art. 66a CP se justifie également en cas d’infraction seulement tentée (ATF 144 IV 168), comme tel est le cas en l’espèce du vol et de la violation de domicile.</w:t>
      </w:r>
    </w:p>
    <w:p>
      <w:r>
        <w:rPr>
          <w:b/>
        </w:rPr>
        <w:t>E. 4.2.1</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4.2.2</w:t>
      </w:r>
    </w:p>
    <w:p>
      <w:r>
        <w:t>La clause de rigueur de l'art. 66a al. 2 CP permet de garantir le principe de la proportionnalité (art. 5 al. 2 Cst.). Elle doit être appliquée de manière restrictive (ATF 146 IV 105 consid. 3.4.2 p. 108; ATF 144 IV 332 consid. 3.3.1 p. 340). Selon la jurisprudence du Tribunal fédéral (ATF 146 IV 105 consid. 3.4 p. 108 ss; ATF 144 IV 332 consid. 3.3.2 p. 340 s.),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6B_825/2020 du 28 octobre 2020 consid. 4.1; TF 6B_397/2020 du 24 juillet 2020 consid. 6.1; TF 6B_344/2020 du 9 juillet 2020 consid. 3.1;TF 6B_286/2020 du 1 er juillet 2020 consid. 1.3.1; TF 6B_704/2019 du 28 juin 2019 consid. 1.3 et les arrêts cités). Selon la jurisprudence, pour se prévaloir du droit au respect de sa vie privée au sens de l'art.</w:t>
      </w:r>
    </w:p>
    <w:p>
      <w:r>
        <w:rPr>
          <w:b/>
        </w:rPr>
        <w:t>E. 4.3</w:t>
      </w:r>
    </w:p>
    <w:p>
      <w:r>
        <w:t>p. 24; TF 6B_397/2020 du 24 juillet 2020 précité consid. 6.1).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p. 12; ATF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consid. 6.1 p. 12; ATF 135 I 143 consid. 1.3.2 p. 146; TF 6B_825/2020 du 28 octobre 2020 précité, ibid.; TF 6B_255/2020 du 6 mai 2020). 5. 5.1 En l’espèce, le prévenu vit en Suisse depuis 2001 sans discontinuer, soit depuis l’âge de 13 ans. La question de savoir s’il « a grandi en Suisse » au sens de l’art. 66a al. 2 in fine CP se pose. La durée du séjour et l’âge de l’intéressé ne permettent cependant pas de présumer d’un cas de rigueur au sens légal, le critère déterminant étant bien plutôt celui de l’intégration (ATF 146 IV 105 précité consid. 3.4, confirmé notamment par TF 6B_1424/2019 du 15 septembre 2020 consid. 3.4.1). Ainsi, dans l’espèce tranchée par l’arrêt de principe, le cas de rigueur a été nié en ce qui concerne un ressortissant chilien arrivé en Suisse à l’âge de 13 ans, soit au même âge que l’appelant, et quand bien même l’intéressé avait, contrairement à l’appelant, mené à terme une formation professionnelle sommaire (ATF 146 IV 105 consid. 3.5). 5.2 Les antécédents de l’appelant sont particulièrement nombreux, dès lors qu’il a été condamné à neuf reprises avant le jugement du 17 juin 2020 frappé d’appel, étant précisé qu’il doit être tenu compte des infractions antérieures à l’entrée en vigueur de l’art. 66a CP, soit le 1 er octobre 2016 (cf. p. ex. TF 6B_1043/2017 du 14 août 2018 consid. 3.2.2). Les premiers juges ont rappelé à juste titre le sérieux avertissement constitué par le jugement du 19 avril 2018, lors duquel le prévenu a été averti (pp. 99 ss.). Interpellé à l’audience d’appel à ce sujet, le prévenu a admis avoir été parfaitement conscient qu’une récidive l’exposerait à l’expulsion. Le premier des actes incriminés dans la présente procédure remonte au 20 mai 2019, soit à un peu plus d’un an après la condamnation à une peine privative de liberté de deux ans prononcée le 19 avril 2018. Interpellé une première fois le 20 mai 2019, le prévenu a été détenu provisoirement jusqu’au 11 juillet 2019, date à laquelle il a été libéré et placé sous mesures de substitution. Le deuxième acte incriminé (hormis la consommation de stupéfiants, pour partie antérieure) remonte au 14 août 2019, soit à guère plus d’un mois après la libération. Quand bien même elle ne constitue pas un cas d’expulsion obligatoire, l’infraction de lésions corporelles simples qualifiées perpétrée le 14 août 2019 témoigne d’une inquiétante propension à la violence physique, que les précédentes condamnations n’ont pas jugulée. Pas plus que les précédentes, la condamnation prononcée le 19 avril 2018 n’a donc eu l’effet de prévention spéciale que l’on pouvait en espérer. Qui plus est, le prévenu s’est fait livrer de la drogue en détention un peu plus de trois mois après sa seconde interpellation, ce qui permet de considérer que l’appelant n’est pas même capable de se comporter correctement en détention. A cet égard, les remords que dit éprouver dorénavant l’appelant apparaissent de pure façade car dictés par la seule peur de l’expulsion. 5.3 Au vu de l’ensemble de ces éléments, le risque de réitération – notamment en matière d’infractions contre l’intégrité corporelle et contre le patrimoine, ainsi qu’en matière de stupéfiants – est donc significatif, sinon particulièrement élevé. Apprécié notamment au vu des antécédents, ce risque constitue un critère important sous l’angle de l’art. 66a al. 2 CP (cf. not. TF 6B_15/2020 du 5 mai 2020 consid. 1.4.2; TF 6B_1044/2019 du 17 février 2020 consid. 2.6 et les réf. citées; TF 6B_235/2018 du 1 er novembre 2018 consid. 2.4, non publié aux ATF 145 IV 55). Comme en ont statué les premiers juges, le prévenu a ignoré tant les mises en garde qui lui ont été adressées que les chances qui lui ont été offertes de se soigner, de s’amender ou d’éviter une expulsion. En effet, son insertion sociale s’avère particulièrement mauvaise. Après l’échec de son apprentissage, il perçoit une rente AI et n’exerce aucune activité lucrative, si ce n’est, dit-il, l’occupation au taux de 30 % d’une conciergerie confiée à sa belle-mère. En outre, rien ne permet de considérer que la formation d’entraîneur sportif qu’il envisage aujourd’hui soit plus à sa portée que celle d’électricien qu’il n’a pas menée à terme. Or, l’absence d’activité professionnelle, respectivement la perception de prestations sociales, durant une période prolongée, témoignent d’une mauvaise intégration sociale et constituent un facteur en faveur de l’expulsion (cf. not. TF 6B_1424/2019 du 15 septembre 2020 consid. 3.4.5; TF 6B_1417/2019 du 13 mars 2020 consid. 2.3; TF 6B_1369/2019 du 22 janvier 2020 consid. 2.3.2 et 2.3.3). 5.4 Quant à la situation familiale de l’intéressé, soit sous l’angle du droit au respect de la vie familiale découlant des normes de droit international de rang constitutionnel déjà rappelées, la présence en Suisse des frères et sœurs de l’appelant ainsi que de son père et de la seconde épouse de celui-ci n’a pas la même importance que la présence d’un enfant ou d’une épouse, la notion de famille nucléaire étant déterminante en la matière (cf. not. TF 6B_255/2020 du 6 mai 2020 précité). Or, l’appelant, âgé de plus de 30 ans, est célibataire et sans enfant. 5.5 Pour le reste, comme l’ont relevé les premiers juges, rien ne permet de considérer que le prévenu serait personnellement en danger en cas de retour dans son pays d’origine. L’Iran n’est notoirement pas en guerre. Il appartiendra de toute façon, le cas échéant, à l’autorité d’exécution d’examiner cette question le moment venu, en application de l’art. 66d al. 1 let. a CP. Enfin, l’appelant pourrait se rendre dans un autre pays, le signalement de son expulsion au registre du Système d’information Schengen (SIS) n’ayant pas été ordonné (cf. l’art. 20 de l’ordonnance sur la partie nationale du Système d’information Schengen et sur le bureau SIRENE [N-SIS], RS 362.0; cf. ATF 146 IV 172). 5.6 Il s’ensuit que l’intérêt de la Suisse à expulser un étranger mettant de façon répétée en danger la sécurité et l’ordre publics doit l’emporter sur l’intérêt du prévenu à rester en Suisse. Au surplus, la durée de l’expulsion, fixée à</w:t>
      </w:r>
    </w:p>
    <w:p>
      <w:r>
        <w:rPr>
          <w:b/>
        </w:rPr>
        <w:t>E. 8</w:t>
      </w:r>
    </w:p>
    <w:p>
      <w:r>
        <w:t>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134 II 10 consid.</w:t>
      </w:r>
    </w:p>
    <w:p>
      <w:r>
        <w:rPr>
          <w:b/>
        </w:rPr>
        <w:t>E. 10</w:t>
      </w:r>
    </w:p>
    <w:p>
      <w:r>
        <w:t>ans, soit en-dessous du maximum légal, n’est pas contestée en tant que telle et est adéquate. 6. La détention subie par l’appelant depuis le jugement de première instance doit être déduite (art. 51 CP). 7. Déjà ordonnée par le Tribunal correctionnel (ch. XVII du dispositif), la détention du prévenu pour des motifs de sûreté (art. 220 al. 2 CPP) doit être maintenue. En effet, l’intéressé présente un risque de fuite (art. 221 al. 1 let. a CPP). 8. Vu l’issue de la cause, les frais d’appel (art. 21 al. 1 et 2 TFIP [Tarif des frais de procédure et indemnités en matière pénale du 28 septembre 2010; BLV 312.03.1]) seront mis à la charge de l’appelant, qui succombe (art. 428 al. 1, 1 re phrase, CPP). Outre l’émolument, les frais d’appel comprennent l’indemnité en faveur du défenseur d’office de l’appelant (art. 422 al. 1 et al. 2 let. a CPP). Cette indemnité doit être arrêtée sur la base de la liste d’opérations produite (P. 208). Une durée d’une heure doit être ajoutée pour l’audience d’appel. La durée d’activité à prendre en compte pour la procédure d’appel, toutes opérations confondues, est donc de 15 h 45, au tarif horaire de 180 francs. Il convient d’ajouter aux honoraires des débours forfaitaires à concurrence de 2 % (art. 3 bis al. 1 RAJ [Règlement du 7 décembre 2010 sur l'assistance judiciaire en matière civile; BLV 211.02.3], applicable par renvoi de l’art. 26b TFIP), ainsi que quatre vacations de 120 fr. (trois visites en détention et le déplacement à l’audience d’appel), plus la TVA sur le tout. L’indemnité s’élève donc à 3'631 fr. 30, débours et TVA compris. L’appelant ne sera tenu de rembourser l’indemnité en faveur de son défenseur d’office prévue ci-dessus que lorsque sa situation financière le permettra (art. 135 al. 4 let. a CPP). Par ces motifs, vu les art. 40, 47, 49 al. 1, 106, 123 ch. 1 et 2, 22 al. 1 ad 139, 144 al. 1, 22 al. 1 ad 186 CP; 19a al. 1 LStup; appliquant les art. 51, 66a al. 1 let. d CP; 221 al. 1 let. a, 398 ss CPP, prononce : I. L’appel de J.________ est rejeté. II. Le jugement rendu le 17 juin 2020 par le Tribunal correctionnel de l’arrondissement de l’Est vaudois est confirmé, son dispositif étant le suivant : "I.- à XI.- (inchangés); XII.- libère J.________ des accusations de brigandage qualifié et d’extorsion; XIII.- déclare J.________ coupable de lésions corporelles simples qualifiées, tentative de vol, dommages à la propriété, tentative de violation de domicile et contravention à la Loi fédérale sur les stupéfiants; XIV.- condamne J.________ à une peine privative de liberté de 20 (vingt) mois, sous déduction de 360 (trois cent soixante) jours de détention avant jugement, ainsi qu’à une amende de 500 francs (cinq cents francs), la peine privative de liberté de substitution étant de 5 (cinq) jours; XV.- constate que J.________ a été détenu dans des conditions de détention illicites durant 14 (quatorze) jours en zone carcérale de police et durant 149 (cent quarante-neuf) jours à la prison du Bois-Mermet et ordonne que 45 (quarante-cinq) jours soient déduits de la peine fixée au ch. XIV ci-dessus, à titre de réparation du tort moral; XVI.- ordonne l’expulsion de J.________ du territoire suisse pour une durée de 10 (dix) ans; XVII.- maintient J.________ en détention pour des motifs de sûreté; XVIII.- à XXVII.- (inchangés); XXVIII.- ordonne la restitution à G.________ d’une somme de 120 fr. (cent vingt francs) sur le montant séquestré sous fiche n° 26642 et renvoie G.________ à agir devant le juge civil pour le surplus; XXIX.- ordonne la confiscation et la dévolution à l’Etat des montants de 580 fr. séquestré sous fiche n° 26643 et de 110 fr., séquestré sous fiche n° 26642 (soit 600 fr. sous déduction de 370 fr. d’ores et déjà restitués à H.________ de 120 fr. à restituer à G.________ selon ch. XXVIII ci-dessus); XXX.- ordonne la confiscation et la destruction des objets séquestrés sous fiches n° 26014, n° 26849 et n° S19.000093; XXXI.- ordonne le maintien au dossier du CD inventorié sous fiche n° 26148 à titre de pièce à conviction; XXXII.- met les frais de la cause - par 13'494 fr. 80, à la charge d’L.________, incluant l’indemnité due à son défenseur d’office, Me Véronique Fontana, arrêtée à 9'125 fr. 80, TVA, débours et vacations compris; - par 16'132 fr. 55, à la charge d’N.________, incluant l’indemnité due à son défenseur d’office, Me Michel Dupuis, arrêtée à 8'646 fr. 70, TVA, débours et vacations compris; - par 34'419 fr. 50 à la charge de J.________, incluant l’indemnité due à son défenseur d’office, Me Romain Kramer arrêtée à 16'261 fr. 60, TVA, débours et vacations compris, pour les opérations depuis le 8 octobre 2019 de même que l’indemnité déjà versée de 2'881 fr. 80; - par 20'174 fr. 85 à la charge d’H.________, incluant l’indemnité due à son défenseur d’office, Me Elodie Gallarotti, arrêtée à 14'044 fr. 35, TVA, débours et vacation compris; XXXIII.- dit que le remboursement à l’Etat des indemnités des défenseurs d’office ne sera exigé des condamnés que si leur situation financière le permet". III. La détention subie par J.________ depuis le jugement de première instance est déduite. IV. Le maintien en détention de J.________ pour des motifs de sûreté est ordonné. V. Une indemnité de défenseur d'office pour la procédure d'appel d'un montant de 3'631 fr. 30, débours et TVA compris, est allouée à Me Romain Kramer. VI. Les frais d'appel, par 5'681 fr. 30, y compris l’indemnité mentionnée au chiffre V ci-dessus, sont mis à la charge de J.________. VII. J.________ est tenu de rembourser l’indemnité de défense d’office prévue au chiffre V ci-dessus dès que sa situation financière le permettra. Le président :               Le greffier : Du Le jugement qui précède, dont le dispositif a été communiqué par écrit aux intéressés le 30 novembre 2020 , est notifié, par l'envoi d'une copie complète, à : - Me Romain Kramer, avocat (pour J.________), - M. G.________, - Ministère public central, et communiqué à : ‑ M. le Président du Tribunal correctionnel de l’arrondissement de l’Est vaudois, - M. le Procureur cantonal Strada, - Prison de La Croisée, - Office d’exécution des peines, - Service de la population (J.________, 03.07.1988),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