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446 vom 25. September 2019</w:t>
      </w:r>
    </w:p>
    <w:p>
      <w:r>
        <w:t>VD Tribunal cantonal, 2019-09-25, FR</w:t>
      </w:r>
    </w:p>
    <w:p>
      <w:r>
        <w:rPr>
          <w:b/>
        </w:rPr>
        <w:t xml:space="preserve">Quelle: </w:t>
      </w:r>
      <w:r>
        <w:t>https://mcp.opencaselaw.ch/entscheid/vd_findinfo_Jug___2020___446</w:t>
      </w:r>
    </w:p>
    <w:p>
      <w:r>
        <w:t>FR: VD_FINDINFO Jug / 2020 / 446 du 25 septembre 2019</w:t>
      </w:r>
    </w:p>
    <w:p>
      <w:r>
        <w:t>IT: VD_FINDINFO Jug / 2020 / 446 del 25 settembre 2019</w:t>
      </w:r>
    </w:p>
    <w:p>
      <w:pPr>
        <w:pStyle w:val="Heading2"/>
      </w:pPr>
      <w:r>
        <w:t>Regeste</w:t>
      </w:r>
    </w:p>
    <w:p>
      <w:r>
        <w:t>ATTÉNUATION DE LA PEINE, LOI FÉDÉRALE SUR LES STUPÉFIANTS ET LES SUBSTANCES PSYCHOTROPES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L’appel relève de la procédure écrite, dès lors que les parties ne s'y sont pas opposées et que la présence du prévenu aux débats d’appel n’est pas indispensable (art. 406 al. 2 let. a CPP [Code de procédure pénale suisse du 5 octobre 2007 ; RS 312.0]).</w:t>
      </w:r>
    </w:p>
    <w:p>
      <w:r>
        <w:rPr>
          <w:b/>
        </w:rPr>
        <w:t>E. 3.1</w:t>
      </w:r>
    </w:p>
    <w:p>
      <w:r>
        <w:t>Le Tribunal fédéral a annulé le jugement cantonal du 22 juin 2020 s’agissant de la peine et a renvoyé la cause à la cour cantonale pour qu’elle atténue la peine prononcée pour infraction grave à la LStup, en tenant compte de la circonstance atténuante déduite de l’art. 19 al. 3 let. b LStup.</w:t>
      </w:r>
    </w:p>
    <w:p>
      <w:r>
        <w:rPr>
          <w:b/>
        </w:rPr>
        <w:t>E. 3.2</w:t>
      </w:r>
    </w:p>
    <w:p>
      <w:r>
        <w:t>Par conséquent, en tenant compte de l’atténuation résultant de l’art. 19 al. 3 let. b LStup, il y a lieu de réduire la peine privative de liberté fixée pour l’infraction de base, soit l’infraction grave à la LStup, de 30 à 26 mois, ce qui porte la peine privative de liberté d’ensemble à 36 mois. Pour le reste, s’agissant de la fixation de la peine, il y a lieu de renvoyer à la motivation figurant dans le jugement rendu le 27 janvier 2020.</w:t>
      </w:r>
    </w:p>
    <w:p>
      <w:r>
        <w:rPr>
          <w:b/>
        </w:rPr>
        <w:t>E. 4.1</w:t>
      </w:r>
    </w:p>
    <w:p>
      <w:r>
        <w:t>En définitive, l’appel de F.________ doit être partiellement admis et le jugement entrepris réformé au chiffre II de son dispositif en ce sens qu’une peine privative de liberté d’ensemble de 36 mois est prononcée et réformé d'office au chiffre III de son dispositif en ce sens qu’il est ordonné que soient déduits de la peine fixée, à titre de réparation du tort moral, 8 jours pour 16 jours de détention subis dans des conditions illicites en zone carcérale, ainsi que 39 jours pour 137 jours de détention subis dans des conditions illicites à la Prison du Bois-Mermet.</w:t>
      </w:r>
    </w:p>
    <w:p>
      <w:r>
        <w:rPr>
          <w:b/>
        </w:rPr>
        <w:t>E. 4.2</w:t>
      </w:r>
    </w:p>
    <w:p>
      <w:r>
        <w:t>Vu l’issue de la cause, les frais d’appel antérieurs aux arrêts du Tribunal fédéral des 15 mai et 16 novembre 2020, par 5'022 fr. 45, constitués de l’émolument du jugement du 27 janvier 2020, par 2'490 fr., ainsi que de l’indemnité due au défenseur d’office du prévenu, par 2'532 fr. 45, seront mis par deux tiers à la charge de F.________, le solde étant laissé à la charge de l’Etat. F.________ ne sera tenu de rembourser à l’Etat les deux tiers du montant de l’indemnité allouée à son défenseur d’office que lorsque sa situation financière le permettra (art. 135 al. 4 let. a CPP).</w:t>
      </w:r>
    </w:p>
    <w:p>
      <w:r>
        <w:rPr>
          <w:b/>
        </w:rPr>
        <w:t>E. 4.3</w:t>
      </w:r>
    </w:p>
    <w:p>
      <w:r>
        <w:t>Une indemnité de défenseur d’office doit être allouée à Me Margaux Loretan pour la procédure d’appel postérieure aux arrêts du Tribunal fédéral des 15 mai et 16 novembre 2020. Au vu de la liste des opérations produite le 19 juin 2020, dont il n’y a pas lieu de s’écarter, c’est une indemnité de 673 fr. 80 qui doit lui être allouée. Au vu de la liste des opérations produite le 26 novembre 2020, dont il n’y a pas lieu de s’écarter, sous réserve de l’opération du 2 novembre 2011 « courrier au Tribunal fédéral », pour laquelle l’avocate a consacré 17 minutes et dont il n’y a pas lieu de tenir compte, dès lors qu’elle est antérieure à l’arrêt du Tribunal fédéral du 16 novembre 2020, c’est une indemnité de 550 fr. 80, correspondant à 3 heures d’activité d’avocat breveté au tarif horaire de 180 fr., plus 10 fr. 80 de débours (2% des honoraires). C’est ainsi une indemnité totale de 1'224 fr. 60 (673 fr. 80 + 550 fr. 80) qui doit être allouée à Me Margaux Loretan pour la procédure d’appel postérieure aux arrêts du Tribunal fédéral des 15 mai et 16 novembre 2020. Les frais d'appel postérieurs aux arrêts du Tribunal fédéral des 15 mai et 16 novembre 2020, constitués de l'émolument du jugement du 22 juin 2020, par 770 fr. (art. 21 al. 1 TFIP), de l’émolument du présent jugement, par 770 fr., ainsi que de l'indemnité allouée au défenseur d'office de l'appelant, par 1'224 fr. 60, soit au total 2'764 fr. 60, seront laissés à la charge de l'Etat. La Cour d’appel pénale, appliquant les art. 40, 46 al. 1, 47, 49 al. 1, 50, 51, 69, 70, 106 CP ; 19 al. 1 let. a, c et d et al. 2 et 3 let. b, 19a ch. 1 LStup ; 91 al. 2 let. b et 95 al. 1 let. b LCR et 398 ss CPP, prononce : I. L’appel est partiellement admis. II. Le jugement rendu le 25 septembre 2019 par le Tribunal correctionnel de l’arrondissement de l’Est vaudois est modifié comme il suit au chiffre II et rectifié d’office au chiffre III de son dispositif, le dispositif du jugement étant désormais le suivant : " I. constate que F.________ s’est rendu coupable de contravention, infraction et infraction grave à la Loi fédérale sur les stupéfiants, conduite malgré une incapacité et conduite d’un véhicule automobile malgré un retrait du permis de conduire; II. révoque le sursis accordé à F.________ le 6 mars 2013 par le Regionalgericht Bern-Mittelland et prononce une peine privative de liberté d’ensemble de 36 mois, sous déduction de 243 jours de détention provisoire, ainsi qu’une amende de 1'000 fr., la peine privative de liberté de substitution étant de 20 jours; III. ordonne que soient déduits de la peine fixée sous chiffre II, à titre de réparation du tort moral, 8 (huit) jours pour 16 (seize) jours de détention subis dans des conditions illicites en zone carcérale, ainsi que 39 (trente-neuf) jours pour 137 (cent trente-sept) jours de détention subis dans des conditions illicites à la Prison du Bois-Mermet; IV. maintient F.________ en détention pour des motifs de sûreté; V. renonce à expulser F.________ du territoire suisse; VI. ordonne le maintien au dossier à titre de pièce à conviction du CD inventorié sous fiche n° 25503; VII. ordonne la confiscation et la dévolution à l'Etat des montants de 590 fr. et 600 fr. séquestrés sous fiches n° 25158 et 25217; VIII. ordonne la confiscation et la destruction de la drogue et des objets séquestrés sous pièces 15, 16, 18, 34 et 45; IX. arrête l’indemnité du défenseur d’office de F.________, Me Laurent Roulier, à 8'460 fr. d’honoraires, 423 fr. de débours, 1'560 fr. de vacations et 804 fr. 10 de TVA, soit un total de 11'247 fr. 10; X. met les frais de la cause, par 33'163 fr. 05, à la charge de F.________, y compris l’indemnité fixée au chiffre précédent; XI. dit que le remboursement à l’Etat de l’indemnité de son défenseur d’office ne sera exigé que si la situation financière du condamné le permet." III. La détention subie depuis le jugement de première instance est déduite. IV. Le maintien en détention de F.________ à titre de sûreté est ordonné. V. Une indemnité de défenseur d'office pour la procédure d'appel antérieure aux arrêts du Tribunal fédéral, d'un montant de 2'532 fr. 45 , débours et TVA inclus, est allouée à Me Laurent Roulier. VI. Les frais de la procédure d’appel antérieurs aux arrêts du Tribunal fédéral, par 5'022 fr. 45, y compris l'indemnité allouée au défenseur d'office, sont mis par deux tiers à la charge de F.________, soit par 3'348 fr. 30, le solde étant laissé à la charge de l’Etat. VII. Une indemnité de défenseur d’office pour la procédure d’appel postérieure aux arrêts du Tribunal fédéral, d’un montant de 1'224 fr. 60, débours et TVA compris, est allouée à Me Margaux Loretan. VIII. Les frais de la procédure d’appel postérieurs aux arrêts du Tribunal fédéral, par 2'764 fr. 60, y compris l’indemnité allouée au défenseur d’office sous chiffre VII ci-dessus, sont laissés à la charge de l’Etat. IX. F.________ ne sera tenu de rembourser à l’Etat les deux tiers du montant de l’indemnité en faveur de son défenseur d’office prévue au ch. V ci-dessus que lorsque sa situation financière le permettra . Le président :               La greffière : Du Le jugement qui précède, dont la rédaction a été approuvée à huis clos, est notifié, par l'envoi d'une copie complète, à : - Me Laurent Roulier, avocat (pour F.________), - Me Margaux Loretan, avocate (pour F.________), - Ministère public central, et communiqué à : - M. le Président du Tribunal correctionnel de l'arrondissement de l’Est vaudois, - Mme la Procureure de l'arrondissement de Lausanne, - Office d'exécution des peines, - Prison du Bois-Mermet,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