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424 vom 9. Juni 2020</w:t>
      </w:r>
    </w:p>
    <w:p>
      <w:r>
        <w:t>VD Tribunal cantonal, 2020-06-09, FR</w:t>
      </w:r>
    </w:p>
    <w:p>
      <w:r>
        <w:rPr>
          <w:b/>
        </w:rPr>
        <w:t xml:space="preserve">Quelle: </w:t>
      </w:r>
      <w:r>
        <w:t>https://mcp.opencaselaw.ch/entscheid/vd_findinfo_Jug___2020___424</w:t>
      </w:r>
    </w:p>
    <w:p>
      <w:r>
        <w:t>FR: VD_FINDINFO Jug / 2020 / 424 du 9 juin 2020</w:t>
      </w:r>
    </w:p>
    <w:p>
      <w:r>
        <w:t>IT: VD_FINDINFO Jug / 2020 / 424 del 9 giugno 2020</w:t>
      </w:r>
    </w:p>
    <w:p>
      <w:pPr>
        <w:pStyle w:val="Heading2"/>
      </w:pPr>
      <w:r>
        <w:t>Regeste</w:t>
      </w:r>
    </w:p>
    <w:p>
      <w:r>
        <w:t>ACTE D'ORDRE SEXUEL AVEC UN ENFANT, CONTRAINTE SEXUELLE, VIOLATION D'UNE OBLIGATION D'ENTRETIEN, CONSTATATION DES FAITS, IN DUBIO PRO REO, FIXATION DE LA PEINE, SURSIS À L'EXÉCUTION DE LA PEINE, EXPULSION{DROIT PÉNAL}, CONCOURS IDÉAL | 187 CP, 189 CP, 217 CP, 42 CP, 43 CP, 47 CP, 49 CP, 66a CP</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2.1</w:t>
      </w:r>
    </w:p>
    <w:p>
      <w:r>
        <w:t>les passages suivants : « Dans un arrêt récent destiné à la publication, le Tribunal fédéral a précisé la jurisprudence relative aux contraintes sexuelles commises par un auteur dans son proche entourage social, en particulier dans le cadre familial (TF 6B_1265/2019 du 9 avril 2020 [ndr : soit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(arrêt 6B_1265/2019 du 9 avril 2020 consid. 3.5.5 destiné à la publication). Plus l'enfant est jeune, moins les exigences en matière de pressions psychiques sont élevées (arrêt 6B_1265/2019 du 9 avril 2020 consid. 3.3.3 et 3.5.7 destiné à la publication; cf. arrêt 6B_216/2017 du 11 juillet 2017 consid. 1.4.1). Selon les circonstances, une menace ou l'ordre explicite à l'enfant de se taire n'est pas nécessaire pour admettre l'usage de la contrainte (arrêt 6B_1265/2019 du 9 avril 2020 consid. 3.6.1 destiné à la publication). Dans le cas particulier, le Tribunal fédéral a conclu qu'au vu notamment de l'âge de la victime au moment des faits (entre ses 8 et 10 ans), de l'influence qu'exerçait le beau-père qui bénéficiait d'une totale confiance, de la relation étroite entre les protagonistes et du lieu et de la manière dont les événements se sont déroulés (domicile familial, injonction au silence), on ne pouvait attendre de la victime qu'elle s'oppose aux abus, dès lors qu'elle se trouvait dans une situation sans issue (arrêt 6B_1265/2019 du 9 avril 2020 consid. 3.6 destiné à la publication). »</w:t>
      </w:r>
    </w:p>
    <w:p>
      <w:r>
        <w:rPr>
          <w:b/>
        </w:rPr>
        <w:t>E. 3.1</w:t>
      </w:r>
    </w:p>
    <w:p>
      <w:r>
        <w:t>S.________ conteste l’intégralité des faits retenus à son encontre. Il se plaint d’une violation du principe in dubio pro reo et conclut à sa libération de tout chef d’accusation.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w:t>
      </w:r>
    </w:p>
    <w:p>
      <w:r>
        <w:rPr>
          <w:b/>
        </w:rPr>
        <w:t>E. 3.3.1</w:t>
      </w:r>
    </w:p>
    <w:p>
      <w:r>
        <w:t>S’agissant des faits exposés sous chiffre 1 de l’acte d’accusation (cf. supra consid. 2.1 dans la partie « En fait »), les premier juges ont décrit et analysé le contenu de l’audition filmée LAVI de l’enfant ayant eu lieu le lendemain des faits, puis résumée par écrit (P. 12). Ils ont considéré, à juste titre, que ce récit était authentique et détaillé, conforme au développement d’une enfant de 6 ans et demi, précis dans sa localisation, sa chronologie, ses protagonistes, et corroboré par les émotions (gêne et le cas échéant peur de susciter à nouveau une réaction violente de son père qui la veille avait frappé le prévenu à deux reprises) et les ressentis exprimés, les descriptions gestuelles de l’enfant, ainsi que la restitution des mimiques et propos de l’auteur. Trois points du récit de l’enfant étaient confirmés par d’autres déposants : le bouton du haut du caleçon vu ouvert par la sœur à son entrée dans la buanderie, le fait qu’auparavant le prévenu avait renversé de l’eau sur l’enfant lorsqu’il nettoyait un grill sur le balcon et le fait qu’il lui avait donné des friandises. Enfin, l’ADN du prévenu a été retrouvé à l’intérieur du short de la victime (face avant interne du short, au niveau de la ceinture et des coutures ; cf. P. 15 p. 3), ce qui corrobore sa version de son déshabillage par l’auteur. Les premiers juges ont encore expliqué qu’un tel récit ne pouvait ni avoir été inventé par l’enfant, ni suggéré par la grande sœur de la victime. La Cour de céans, qui a procédé au visionnement de l'audition de l’enfant, ne peut que se rallier à cette analyse. En particulier, la véracité des déclarations de la victime ressort des gestes de l’abuseur décrits par cette dernière, soit l’attouchement sur le sexe pratiqué de la main droite avec deux doigts, et du geste mimé, à savoir le pouce fixe déployé vers le haut et doigts pointés vers le bas, animés d’un mouvement répétitif de frottement de leurs extrémités. De même, le secret que l’auteur s’empresse d’imposer à l’enfant et les réactions de dissimulation de la scène que l’auteur met en place (en se levant, en s’écartant et en demandant à l’enfant de se lever) lorsqu’il perçoit qu’un tiers risque de le surprendre s’avèrent caractéristiques de l’accomplissement d’un abus sexuel sur mineur. Quant à la position de l’auteur couché sur le ventre de l’enfant, allongée dos au sol, telle que décrite par celle-ci (« ventre à ventre ») et reprise dans l’acte d’accusation – position difficilement compatible, dans ces circonstances, avec le déshabillage partiel (short et culotte baissés) de l’enfant et la caresse sexuelle – il est vraisemblable que l’auteur se soit d’abord couché sur le corps de l’enfant, puis qu’il se soit décalé, assis ou soulevé pour la déshabiller et la caresser, même si l’enfant ne l’a pas précisé tout en disant que l’autre main de l’auteur était posée au sol, ce qui évoque un appui, et en décrivant son geste et son visage, ce qui implique qu’ils étaient visibles d’elle. Cette lacune dans la description de la position ne remet toutefois pas en cause l’authenticité de la scène. Avant de s’exprimer lors de l’audition LAVI, la victime a répondu aux questions de sa sœur de 14 ans qui était chargée de veiller sur elle et lui a révélé ce qui venait de lui arriver. Elle a aussi parlé à sa grand-mère sur place, puis à son père qui venait chercher ses filles et, enfin, à sa mère. Toutefois, comme on l’a vu, la qualité vécue du récit livré à l’inspectrice spécialisée permet d’exclure tant une version construite par un ou des tiers – dans le but de nuire à l’appelant pour un motif obscur – qu’une version brouillée ou suggérée involontairement par les questions et réactions de ces divers interlocuteurs. Les premiers juges ont également examiné les déclarations successives du prévenu et ont souligné qu’elles présentaient des variations ou contradictions sur plusieurs points (jugement p. 17) : Premièrement, le prévenu a donné deux versions de son implication dans le dégrafage du short (indice de l’abus) : il a d’abord dit que ce vêtement était fermé et que son aide avait été requise pour le déboutonner (PV aud. 3 p. 5), puis qu’il était ouvert et que l’enfant lui avait demandé de l’aider à le boutonner (PV aud. 6 p. 4). Deuxièmement, il a dit une fois que la porte de la buanderie était fermée (non verrouillée) lorsqu’il était à l’intérieur avec l’enfant (PV aud. 3 p. 5) et une fois qu’elle était demeurée ouverte (jugement p. 7). Troisièmement, il a donné au père de la fillette une autre explication quant au lieu où il avait déboutonné le short, en disant l’avoir fait dans la buanderie lorsqu’ils nettoyaient le filtre du séchoir et que l’enfant, en se baissant, avait montré que son pantalon était trop serré (PV aud. 1 p. 2), tandis que lors de ses auditions, il a affirmé avoir déboutonné le vêtement après avoir renversé de l’eau sur l’enfant lorsqu’il nettoyait un grill sur le balcon de l’appartement (PV aud. 3 p. 5 et PV aud 6 p. 4). Le tribunal en a déduit qu’il ne s’agissait pas d’un récit spontané et cohérent, mais construit sur des éléments disculpatoires, contradictoires et peu crédibles (jugement p. 18). Là aussi, les motifs avancés par le tribunal sont convaincants.</w:t>
      </w:r>
    </w:p>
    <w:p>
      <w:r>
        <w:rPr>
          <w:b/>
        </w:rPr>
        <w:t>E. 3.3.2</w:t>
      </w:r>
    </w:p>
    <w:p>
      <w:r>
        <w:t>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TF 6B_143/2019 du 6 mars 2019 consid. 3.3.2).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 Evolutions en 2018, Neuchâtel 2017, p. 149).</w:t>
      </w:r>
    </w:p>
    <w:p>
      <w:r>
        <w:rPr>
          <w:b/>
        </w:rPr>
        <w:t>E. 3.3.3</w:t>
      </w:r>
    </w:p>
    <w:p>
      <w:r>
        <w:t>L’appelant relève ensuite que le jugement est lacunaire lorsqu’il n’évoque pas les deux épisodes où le père de la victime lui a donné des coups de poing dans le ventre lors de leur confrontation juste après les faits et plus tard dans la journée. Ces éléments ont été ajoutés à l’état de fait, puisqu’ils ressortent des déclarations de la victime. Mais on ne peut qu’en déduire que le père de l’enfant a éprouvé de la colère et manifesté de la violence parce qu’il a été immédiatement convaincu de la réalité de l’abus dénoncé par ses filles.</w:t>
      </w:r>
    </w:p>
    <w:p>
      <w:r>
        <w:rPr>
          <w:b/>
        </w:rPr>
        <w:t>E. 3.3.4</w:t>
      </w:r>
    </w:p>
    <w:p>
      <w:r>
        <w:t>L’appelant fait valoir que la déposition du père selon laquelle il lui aurait parlé de l’emplacement dans l’espace et dans le temps du déboutonnage du short de l’enfant, ainsi que de son initiateur (PV aud. 1 p. 2), serait inexacte parce qu’elle n’a pas été corroborée par la mère de la victime, qui a expliqué qu’elle « avai[t] de la peine à parler » (PV aud. 2 p. 2). On ne peut rien tirer de l’affirmation faite par la mère à cet égard, si ce n’est qu’elle a voulu dire par là qu’elle était bouleversée et qu’il fallait se fier aux dires de son mari plutôt qu’aux siens. Aussi, ce propos n’alimente aucun doute sur la déclaration de l’appelant au père, telle que relatée par ce dernier.</w:t>
      </w:r>
    </w:p>
    <w:p>
      <w:r>
        <w:rPr>
          <w:b/>
        </w:rPr>
        <w:t>E. 3.3.5</w:t>
      </w:r>
    </w:p>
    <w:p>
      <w:r>
        <w:t>L’appelant conteste aussi la déclaration de la mère de l’enfant selon laquelle il lui aurait imposé par la force en 2006 ou 2007 une étreinte et des baisers (PV aud. 2 p. 3) pour le motif qu’elle a aussi dit en avoir parlé à sa propre mère et que celle-ci l’a nié (PV aud. 4 p. 4). Peu importe toutefois. D’une part, le jugement ne s’appuie pas sur de tels propos tenus par la mère pour conclure à la culpabilité de l’appelant. D’autre part, la concubine de l’appelant, grand-mère de la victime, a pu nier cette confidence pour privilégier sa relation avec l’appelant, dès lors que sa fille avait aussi parlé de cet épisode à d’autres membres de la famille (PV aud. 1 p. 3) et avait enjoint la sœur aînée de la victime de veiller sur cette dernière de manière générale et notamment lorsque l’appelant était présent (PV aud. 5 p. 3).</w:t>
      </w:r>
    </w:p>
    <w:p>
      <w:r>
        <w:rPr>
          <w:b/>
        </w:rPr>
        <w:t>E. 3.3.6</w:t>
      </w:r>
    </w:p>
    <w:p>
      <w:r>
        <w:t>L’appelant s’offusque de ce que la déclaration de la grand-mère, qui a affirmé qu’elle pensait que les faits ne s’étaient pas passés parce qu’elle n’avait rien vu, qu’il n’y avait pas de précédent et que son concubin n’allait pas « toucher un enfant comme ça » (PV aud. 4 p. 5 in initio ), a été écartée par les premiers juges parce que, tiraillée entre son compagnon et sa petite-fille, elle pouvait espérer que  les faits dénoncés ne se soient pas produits pour éviter l’implosion de la famille (jugement p. 18). En réalité, il était pertinent de retenir que cette déposante était en proie à un conflit intérieur et qu’elle avait choisi de privilégier ses propres intérêts affectifs au lieu d’adopter une position menant à la rupture avec son concubin. De toute manière, elle n’avait exposé qu’un avis personnel et cette appréciation n’a évidemment pas le même poids que les autres preuves énumérées ci-dessus.</w:t>
      </w:r>
    </w:p>
    <w:p>
      <w:r>
        <w:rPr>
          <w:b/>
        </w:rPr>
        <w:t>E. 3.3.7</w:t>
      </w:r>
    </w:p>
    <w:p>
      <w:r>
        <w:t>Se référant à l’audition de la sœur aînée (PV aud. 5), les premiers juges ont écarté la thèse de l’appelant selon laquelle cette jeune fille serait animée d’une inimitié à son encontre à l’origine de fausses accusations (jugement p. 18). L’appelant souligne qu’il a fait état de cette inimitié lors de sa première audition et que la jeune fille en question avait déjà rapporté faussement à sa grand-mère, pour lui nuire, le fait qu’il aurait embrassé une autre femme à la plage d’ [...] (jugement p. 8). Averti le 2 juillet 2017 du dépôt de la plainte, le prévenu a eu le loisir de réfléchir à la version des faits qu’il a donnée aux enquêteurs lors de son audition du 5 juillet 2017 (PV aud. 3 p. 7) et d’y incorporer des éléments défensifs. Or, il n’a pas fait état d’une haine des enfants à son encontre, mais simplement de remarques pour lui signifier qu’il n’était pas leur grand-père. A l’évidence, les sentiments négatifs qu’il suscitait parfois, de faible intensité, ne permettent pas de comprendre, comme étant leur cause, l’émergence subite et sans événement déclencheur de prétendues fausses accusations sexuelles relayées par les deux enfants durant le paisible après-midi en question. Quant au baiser de la plage, l’appelant a admis qu’il avait plusieurs copines simultanément (jugement p. 8), ce qui rend ce fait plausible.</w:t>
      </w:r>
    </w:p>
    <w:p>
      <w:r>
        <w:rPr>
          <w:b/>
        </w:rPr>
        <w:t>E. 3.3.8</w:t>
      </w:r>
    </w:p>
    <w:p>
      <w:r>
        <w:t>L’appelant se prévaut de ce que son ADN n’a pas été retrouvé sur la culotte de l’enfant et veut en déduire la preuve qu’il n’a pas baissé ce sous-vêtement. Son raisonnement, qui se fonde sur la prémisse que tout contact humain sur un textile laisse nécessairement une trace détectable et exploitable, est évidemment erroné. L’absence de détection n’est pas assimilable à l’inexistence du geste. Il est pour le surplus tout à fait possible qu’en descendant le short de l’enfant, sa culotte ait été baissée en même temps sans être touchée par le prévenu.</w:t>
      </w:r>
    </w:p>
    <w:p>
      <w:r>
        <w:rPr>
          <w:b/>
        </w:rPr>
        <w:t>E. 3.3.9</w:t>
      </w:r>
    </w:p>
    <w:p>
      <w:r>
        <w:t>L’appelant soutient que sa présence dans la buanderie a été trop brève pour accomplir l’abus sexuel qui lui est reproché. Le dossier comporte des témoignages divergents sur la durée du huis clos dans la buanderie : la grand-mère a parlé de 3 à 4 minutes (PV aud. 4 p. 3), alors que la sœur aînée a évoqué environ 15 minutes (PV aud. 5 p. 3). Celle-ci a précisé à cet égard qu’elle avait d’abord cherché sa sœur dans l’appartement avant de prendre les escaliers de l’immeuble pour aller à la buanderie parce que ça faisait long. En fin d’audition, elle a ajouté qu’elle pensait que c’était sa faute, qu’elle aurait dû monter plus vite pour voir ce qui se passait (PV aud. 5 p. 6). Or, d’une part, l’abus, interrompu par l’arrivée de la sœur aînée, pouvait être accompli rapidement ; d’autre part, les indications temporelles données par la sœur aînée paraissent plus fiables que celles fournies par la grand-mère, car la première s’est inquiétée de l’absence prolongée de l’enfant et l’a cherchée jusqu’à ce qu’elle la trouve.</w:t>
      </w:r>
    </w:p>
    <w:p>
      <w:r>
        <w:rPr>
          <w:b/>
        </w:rPr>
        <w:t>E. 3.3.10</w:t>
      </w:r>
    </w:p>
    <w:p>
      <w:r>
        <w:t>L’appelant relève encore que l’enfant l’a accompagné spontanément à la buanderie, ce que la grand-mère confirme. Il en tire qu’il ne l’a pas attirée dans un huis clos pour abuser d’elle. Toutefois, ce défaut de planification n’exclut pas qu’il n’a pas profité du huis clos pour assouvir une pulsion sexuelle sur l’enfant allongée au sol.</w:t>
      </w:r>
    </w:p>
    <w:p>
      <w:r>
        <w:rPr>
          <w:b/>
        </w:rPr>
        <w:t>E. 3.3.11</w:t>
      </w:r>
    </w:p>
    <w:p>
      <w:r>
        <w:t>En définitive, les objections avancées par l’appelant ne suscitent aucun doute sur la réalisation des faits punissables.</w:t>
      </w:r>
    </w:p>
    <w:p>
      <w:r>
        <w:rPr>
          <w:b/>
        </w:rPr>
        <w:t>E. 4.1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w:t>
      </w:r>
    </w:p>
    <w:p>
      <w:r>
        <w:rPr>
          <w:b/>
        </w:rPr>
        <w:t>E. 4.2</w:t>
      </w:r>
    </w:p>
    <w:p>
      <w:r>
        <w:t>En l’espèce, le fait de caresser – même brièvement – le sexe de l’enfant réalise incontestablement l’infraction prévue à l’art. 187 CP, les actes ayant par ailleurs été commis avec conscience et volonté.</w:t>
      </w:r>
    </w:p>
    <w:p>
      <w:r>
        <w:rPr>
          <w:b/>
        </w:rPr>
        <w:t>E. 4.3.1</w:t>
      </w:r>
    </w:p>
    <w:p>
      <w:r>
        <w:t>Le jugement, tout comme l’acte d’accusation, n’envisage la réalisation en concours idéal que de la contrainte sexuelle et non du crime d’actes d’ordre sexuels commis sur une personne incapable de discernement ou de résistance (art. 191 CP).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comme dans le cas du brigandage (art. 140 ch. 1 al. 1 CP), l'emploi volontaire de la force physique sur la personne de la victime dans le but de la faire céder ( ATF 122 IV 97 consid. 2b p. 100). Elle suppose une application de la force physique plus intense que ne l'exige l'accomplissement de l'acte dans les circonstances ordinaires de la vie ( ATF 87 IV 66 consid. 1 p. 68). Un emploi limité de force peut suffire (TF 6B_570/2012 du 26 novembre 2012 consid. 1.2). L’arrêt du Tribunal fédéral 6B_146/2020 du 5 mai 2020 comporte à son considérant</w:t>
      </w:r>
    </w:p>
    <w:p>
      <w:r>
        <w:rPr>
          <w:b/>
        </w:rPr>
        <w:t>E. 4.3.2</w:t>
      </w:r>
    </w:p>
    <w:p>
      <w:r>
        <w:t>En l’espèce, l’enfant victime âgée de 6,5 ans avait une certaine capacité de discernement en matière sexuelle puisqu’elle a déclaré avoir senti que ça n’était « pas bien de faire ça » et qu’elle « n’aimai[t] pas quand il [lui] faisait ça » (P. 12 p. 3). L’auteur a usé aussi bien de contrainte physique en l’immobilisant sous son corps que de contrainte psychique au vu des précisions jurisprudentielles qui précèdent, tant il est patent que l’on ne pouvait s’attendre à ce que l’enfant s’oppose aux actes en question, au vu de son âge, de sa situation familiale, de sa proximité avec le prévenu, âgé de 57 ans et qui était le compagnon de sa grand-mère maternelle, et de la manière dont ces actes ont été commis.</w:t>
      </w:r>
    </w:p>
    <w:p>
      <w:r>
        <w:rPr>
          <w:b/>
        </w:rPr>
        <w:t>E. 4.4</w:t>
      </w:r>
    </w:p>
    <w:p>
      <w:r>
        <w:t>Il s’ensuit que le prévenu doit être condamné pour d’actes d’ordre sexuel avec des enfants et contrainte sexuelle, en concours idéal.</w:t>
      </w:r>
    </w:p>
    <w:p>
      <w:r>
        <w:rPr>
          <w:b/>
        </w:rPr>
        <w:t>E. 5.1</w:t>
      </w:r>
    </w:p>
    <w:p>
      <w:r>
        <w:t>L’appelant conteste également sa condamnation pour violation d’une obligation d’entretien.</w:t>
      </w:r>
    </w:p>
    <w:p>
      <w:r>
        <w:rPr>
          <w:b/>
        </w:rPr>
        <w:t>E. 5.2</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JdT 1997 IV 66).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6B_1017/2016 du 10 juillet 2017 consid. 2.2 ; TF 6B_264/2011 du 19 juillet 2011 consid. 2.1.3).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6B_573/2013 du 1 er octobre 2013 consid. 1.1 ; TF 6B_264/2011 du 19 juillet 2011 consid. 2.1.3). Du point de vue subjectif, l’infraction est intentionnelle ; le dol éventuel suffit (ATF 76 IV 109 consid. 5 ; TF 6B_514/2011 du 26 octobre 2011 consid. 1.3.1).</w:t>
      </w:r>
    </w:p>
    <w:p>
      <w:r>
        <w:rPr>
          <w:b/>
        </w:rPr>
        <w:t>E. 5.3</w:t>
      </w:r>
    </w:p>
    <w:p>
      <w:r>
        <w:t>En l’espèce, les premiers juges ont retenu que le prévenu était coupable du délit de l’art. 217 CP en ne payant rien de ses dettes d’entretien alors qu’il réalisait un gain mensuel moyen de 3'000 fr. comme monteur en échafaudages et n’avait que son entretien de 1'200 fr. comme charge (jugement p. 21). L’appelant objecte que ses charges et son revenu n’ont pas été établis correctement dès lors que les juges se sont fondés sur ses propres déclarations (jugement p. 9) pour faire des moyennes et que ce doute sur l’élément objectif de l’infraction qu’est la capacité de payer du débiteur d’entretien doit entraîner son acquittement. Le grief est difficilement compréhensible. L’appelant a été entendu deux fois durant l’enquête (dossier B) et encore à l’audience. Par le passé, il a déjà été condamné à trois reprises pour cette infraction. Durant les 4 ans visés par l’accusation, il a vécu de son travail en n’assumant pratiquement aucune charge, si ce n’est son propre entretien. Sa facilité à travailler résulte de sa certitude affichée de pouvoir travailler immédiatement à sa sortie de prison (jugement p. 9 in fine ). S’il donnait parfois un peu d’argent à sa concubine qui l’hébergeait gratuitement, cela entre dans son entretien estimé selon les normes du droit des poursuites. Quant au montant qu’il prétend avoir payé à son ancien colocataire [...] lorsqu’il travaillait, il ressort de son audition du 14 mai 2019 que cela n’est arrivé que « deux trois fois en 2018 » et « une fois depuis le début de l’année 2019 » (Dossier B, PV aud 2, lignes 76 à 78), alors qu’il a expliqué avoir travaillé, durant la période incriminée, environ huit mois par année pour un salaire mensuel net moyen de 3'600 fr. (jugement p. 9). On relèvera en outre que le prévenu a lui-même admis avoir fait « l’erreur (…) de ne rien payer du tout » alors qu’il aurait pu « payer même un petit peu » (Dossier B, PV aud. 2, lignes 89 à 91). Durant la période considérée, le prévenu avait donc manifestement les moyens d’assumer, ne serait-ce qu'en partie, ses obligations familiales. Partant, les conditions de l’art. 217 CP sont réalisées et la condamnation de l’appelant pour violation d’une obligation d’entretien doit être confirmée.</w:t>
      </w:r>
    </w:p>
    <w:p>
      <w:r>
        <w:rPr>
          <w:b/>
        </w:rPr>
        <w:t>E. 6.1</w:t>
      </w:r>
    </w:p>
    <w:p>
      <w:r>
        <w:t>S.________ ne formule aucun moyen spécifique en lien avec la fixation de la peine opérée par les premiers juges, dès lors qu’il conclut à son acquittement. Dans son appel, le Ministère public conclut à la condamnation de S.________ à une peine privative de liberté ferme de 30 mois, sous déduction de la détention avant jugement. La Procureure met notamment en évidence, s’agissant des infractions sexuelles commises sur R.________, la lourde culpabilité du prévenu, le discrédit que celui-ci a jeté sur l’entier de la famille de la victime, ses dénégations, son absence totale d’empathie, les liens « familiaux » qui l’unissaient à l’enfant, ainsi que le concours d’infractions et l’absence d’éléments à décharge. Par ailleurs, les facteurs de mauvais pronostic seraient significatifs, de sorte qu’on ne saurait assortir la peine d’un sursis partiel.</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6.2.3</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6.3</w:t>
      </w:r>
    </w:p>
    <w:p>
      <w:r>
        <w:t>En l’espèce, la Cour de céans considère, avec les premiers juges, que la culpabilité de S.________ est lourde. Il a en effet commis des crimes au préjudice d’une enfant de 6 ans et demi. Il s’en est ainsi pris à un bien juridiquement protégé de haute valeur, à savoir l’intégrité sexuelle de la petite-fille de sa compagne, profitant de leur proximité et du lien de confiance qui les unissait. Les actes sont graves, puisqu’il a agi dans le seul but d’assouvir ses pulsions, en exerçant une forme de pression psychologique sur l’enfant en lui imposant le silence puis en l’enjoignant de ne rien dire à personne. Le prévenu a démontré une absence totale d’empathie et une incapacité à prendre conscience de la gravité de ses actes puisqu’il a persévéré dans ses dénégations, n’hésitant pas à discréditer la famille de la victime, accusant celle-ci ainsi que sa sœur de vouloir l’éloigner d’eux pour des raisons qu’il n’a pas été en mesure d’expliquer clairement. Enfin, on ne décèle aucun élément à décharge, le prévenu n’ayant cessé ses agissements qu’après l’irruption d’un tiers sur les lieux. Concernant l’infraction de violation d’une obligation d’entretien, on retiendra, avec le tribunal, le choix délibéré du prévenu de favoriser de prétendus créanciers, son détachement face à ses obligations familiales et ses antécédents. La Cour de céans fait donc sienne la motivation complète et convaincante des premiers juges conduisant à condamner l'appelant à 12 mois de peine privative de liberté, soit 7 mois pour l’infraction la plus grave, à savoir la contrainte sexuelle, augmentés de 5 mois pour l’infraction d’actes d’ordre sexuel avec des enfants, afin de sanctionner un épisode relativement bref d’attouchements à même le sexe d’une très jeune enfant. Il se justifie également de majorer la peine punissant ces actes de 6 mois de privation de liberté pour la longue et récidivante violation de l’obligation d’entretien, le prévenu ayant été condamné pour cette infraction la dernière fois à 140 jours de privation de liberté sans que cela ne le dissuade de poursuivre dans ses agissements. En définitive, la peine privative de liberté de 18 mois prononcée par les premiers juges pour sanctionner les infractions aux art. 187 ch. 1, 189 al. 1 et 217 CP commises par l’appelant doit être confirmée. La Cour de céans considère que quand bien même le prévenu n’a pas été condamné auparavant pour des infractions sexuelles sur enfant, le pronostic est défavorable au vu de l’indifférence manifestée à sa victime, de l’absence de remord et de prise de conscience, l’intéressé persistant à contester – malgré les éléments évidents – les faits qui lui sont reprochés dans le cadre de la présente procédure. A cela s’ajoute qu’il ne s’est pas contenté de nier par peur de la sanction ou par crainte que sa réputation auprès de sa compagne et de la famille de cette dernière soit compromise, mais il a consciemment tenté d’induire la justice en erreur, en rejetant la faute sur sa victime et sa sœur aînée qu’il a traitées de menteuses et qu’il a présentées comme voulant l’éloigner de sa compagne au travers de fausses accusations. L’appelant a ainsi démontré une absence particulière de scrupules, qui ne permet pas d’espérer qu’une peine avec sursis – même partiel – suffira à le détourner durablement de la délinquance (cf. Dupuis et alii , Petit commentaire du Code pénal, 2 e éd., Bâle 2017, n. 13 ad art. 42 CP), étant par ailleurs relevé qu’en matière de violation d’une obligation d’entretien, l’intéressé en est à sa quatrième condamnation. Les conditions d’octroi du sursis – même partiel – ne sont donc pas réalisées, de sorte que c’est une peine de 18 mois fermes qui doit être prononcée. Le jugement sera donc réformé en ce sens aux chiffres III et VI de son dispositif.</w:t>
      </w:r>
    </w:p>
    <w:p>
      <w:r>
        <w:rPr>
          <w:b/>
        </w:rPr>
        <w:t>E. 7.1</w:t>
      </w:r>
    </w:p>
    <w:p>
      <w:r>
        <w:t>L'appelant conteste son expulsion uniquement dans la mesure où il conclut à son acquittement des chefs d’accusation d’actes d’ordre sexuel avec des enfants et contrainte sexuelle.</w:t>
      </w:r>
    </w:p>
    <w:p>
      <w:r>
        <w:rPr>
          <w:b/>
        </w:rPr>
        <w:t>E. 7.2</w:t>
      </w:r>
    </w:p>
    <w:p>
      <w:r>
        <w:t>Selon l'art. 66a al. 1 CP, le juge expulse de Suisse l'étranger qui est condamné pour l'une des infractions énumérées.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 doctrinales citées ; TF 6B_627/2018 du 22 mars 2019 consid. 1.3.5 ; TF 6B_143/2019 du 6 mars 2019 consid. 3.3.1). Selon la jurisprudence, pour se prévaloir du respect au droit de sa vie privée au sens de l'art.</w:t>
      </w:r>
    </w:p>
    <w:p>
      <w:r>
        <w:rPr>
          <w:b/>
        </w:rPr>
        <w:t>E. 7.3</w:t>
      </w:r>
    </w:p>
    <w:p>
      <w:r>
        <w:t>En l’espèce, la condamnation de S.________ pour actes d’ordre sexuels avec des enfants et contrainte sexuelle est confirmée, de sorte qu’on se trouve dans un cas d’expulsion obligatoire (art. 66 a al. 1 let. h CP). L 'intérêt public à son expulsion est important. L’appelant ne peut en outre pas se prévaloir d'une intégration particulièrement réussie en Suisse. Même s'il y réside depuis 32 ans et est au bénéfice d’une autorisation d’établissement (permis C), il n'est pas né dans ce pays et a suivi sa scolarité au Cap-Vert, où il a habité jusqu'à ses 22 ans. Malgré un long séjour dans notre pays, il parle mal le français et, selon ses dires, « le lit encore moins bien » (recours, p. 10, ch. 14). O n relèvera en outre ses difficultés d’adaptation économiques, le prévenu, qui n’a aucune formation spécifique, faisant l’objet de poursuites à hauteur de plus de 350'000 fr., ce qui démontre une très faible intégration en Suisse, où – en plus de ne pas s’acquitter des pensions dues en faveur de ses enfants depuis plusieurs années – il ne paie ni impôts ni assurance-maladie. Enfin et surtout, s’agissant des crimes qui lui sont reprochés, son absence totale de prise de conscience fait craindre un risque de récidive. Certes, l’appelant a quatre enfants dans notre pays, dont deux sont majeurs, mais il n’a aucun contact avec deux d’entre eux et uniquement des contacts épisodiques avec les deux autres, dont une seule est mineure (17 ans). En revanche, il a admis rendre régulièrement visite à ses deux autres enfants majeurs qui vivent au Cap-Vert, où ceux-ci sont propriétaires d’une maison. L’intéressé a donc conservé des liens importants dans son pays d’origine, où résident également des frères et sœurs, avec lesquels il a régulièrement des contacts. De toute manière, même au Cap-Vert, il pourra communiquer avec ses enfants en Suisse par les moyens techniques modernes. Le fait que l’appelant, âgé de 60 ans, puisse percevoir, dans quelques années, une rente AVS en Suisse et pas au Cap-Vert selon ses déclarations n’empêche pas son expulsion. Dans de telles circonstances, la situation personnelle de l’appelant ne saurait faire obstacle à son expulsion. Au vu de l'ensemble des éléments qui précèdent, force est de constater que l'intérêt public à l'expulsion de S.________ l'emporte manifestement sur l'intérêt privé de celui-ci à demeurer en Suisse. Cette mesure doit donc être confirmée, tout comme sa durée fixée à 8 ans, qui se révèle parfaitement proportionnée.</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6B_143/2019 du 6 mars 2019 consid.</w:t>
      </w:r>
    </w:p>
    <w:p>
      <w:r>
        <w:rPr>
          <w:b/>
        </w:rPr>
        <w:t>E. 8.1</w:t>
      </w:r>
    </w:p>
    <w:p>
      <w:r>
        <w:t>En définitive, l'appel de S.________ doit être rejeté. Quant à l’ appel du Ministère public , il sera partiellement admis dans le sens des considérants.</w:t>
      </w:r>
    </w:p>
    <w:p>
      <w:r>
        <w:rPr>
          <w:b/>
        </w:rPr>
        <w:t>E. 8.2</w:t>
      </w:r>
    </w:p>
    <w:p>
      <w:r>
        <w:t>Sur la liste des opérations produites (P. 63), Me Pierre-Yves Court, défenseur d’office de S.________, mentionne 17h d’activité. Il convient toutefois de retrancher 2h aux 8h45 consacrées à la déclaration d’appel, cette durée apparaissant excessive compte tenu de la connaissance du dossier acquise en première instance par l'avocat. Il faut en outre tenir compte de la durée de l'audience d'appel, soit 1h30. C'est ainsi une indemnité de 3'631 fr. 30, correspondant à 15h45 d'activité d'avocat à 180 fr. de l’heure, 480 fr. de vacations, 56 fr. 70 de débours (2% des honoraires) et 259 fr. 60 de TVA, qui doit être allouée à Me Pierre-Yves Court pour la procédure d’appel. Vu le sort des appels respectifs, l’émolument d’arrêt, par 3'780 fr. (art. 21 al. 1 et 2 TFIP [Tarif des frais de procédure et indemnités en matière pénale du 28 septembre 2010; RSV 312.03.1]), ainsi que l’indemnité allouée au défenseur d’office de l’appelant, par 3'631 fr. 30, TVA et débours inclus, doivent être mis par trois quarts à la charge de S.________ (art. 428 al. 1 CPP), le solde étant laissé à la charge de l'Etat. Le remboursement à l'Etat des trois quarts de l’indemnité d'office ne sera exigible que pour autant que la situation économique de S.________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