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417 vom 2. Juni 2020</w:t>
      </w:r>
    </w:p>
    <w:p>
      <w:r>
        <w:t>VD Tribunal cantonal, 2020-06-02, FR</w:t>
      </w:r>
    </w:p>
    <w:p>
      <w:r>
        <w:rPr>
          <w:b/>
        </w:rPr>
        <w:t xml:space="preserve">Quelle: </w:t>
      </w:r>
      <w:r>
        <w:t>https://mcp.opencaselaw.ch/entscheid/vd_findinfo_Jug___2020___417</w:t>
      </w:r>
    </w:p>
    <w:p>
      <w:r>
        <w:t>FR: VD_FINDINFO Jug / 2020 / 417 du 2 juin 2020</w:t>
      </w:r>
    </w:p>
    <w:p>
      <w:r>
        <w:t>IT: VD_FINDINFO Jug / 2020 / 417 del 2 giugno 2020</w:t>
      </w:r>
    </w:p>
    <w:p>
      <w:pPr>
        <w:pStyle w:val="Heading2"/>
      </w:pPr>
      <w:r>
        <w:t>Regeste</w:t>
      </w:r>
    </w:p>
    <w:p>
      <w:r>
        <w:t>LÉGITIME DÉFENSE, APPRÉCIATION DES PREUVES, EXCÈS, PÉRIODE D'ESSAI, SURSIS À L'EXÉCUTION DE LA PEINE, PEINE PRIVATIVE DE LIBERTÉ | 15 CP, 16 CP, 42 al. 1 CP, 44 al. 1 CP, 10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 e éd., Bâle 2019,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4.1</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(ATF 136 IV 49 consid. 3.2).</w:t>
      </w:r>
    </w:p>
    <w:p>
      <w:r>
        <w:rPr>
          <w:b/>
        </w:rPr>
        <w:t>E. 4.2</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ce qui conduit à son acquittement (ATF 101 IV 119; Dupuis/Moreillon/Piguet/Berger/Mazou/Rodigari [éd.], Petit commentaire CP, 2 e éd., Bâle 2017, n. 11 ad art. 16 CP). Selon la jurisprudence, celui qui se défend n’encourt aucune peine si l'attaque est la seule cause ou la cause prépondérante de l'excitation ou du saisissement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davantage le degré d'émotion nécessaire. Il ne doit pas forcément atteindre celui d'une émotion violente au sens de l'art. 113 CP, mais doit revêtir une certaine importance. « Peur » ne signifie pas nécessairement « état de saisissement » au sens de l'art. 16 al. 2 CP (TF 6B_922/2018 du 9 janvier 2020 consid. 2.2; TF 6B_1015/2014 du 1 er juillet 2015 consid. 3.2; TF 6B_889/2013 du 17 février 2014 consid. 3.1). Une simple agitation ou une simple émotion ne suffit pas (TF 6B_922/2018 du 9 janvier 2020, précité, ibid ; TF 6B_853/2016 du 18 octobre 2017 consid. 2.2.4; TF 6B_810/2011 du 30 août 2012 consid. 5.3.2). Il faut au contraire que l'état d'excitation ou de saisissement auquel était confronté l'auteur à la suite de l'attaque l'ait empêché de réagir de manière pondérée et responsable (TF 6B_922/2018 du 9 janvier 2020, précité, ibid.; TF 6B_971/2018 du 7 novembre 2019 consid. 2.3.4). Il appartient au juge d'apprécier de cas en cas si le degré d'émotion était suffisamment marquant et de déterminer si la nature et les circonstances de l'attaque le rendaient excusable. Un individu surpris par une attaque totalement inattendue peut réagir sous l'effet d'un saisissement excusable (Dupuis et alii [éd.], op. cit., n. 8 ad art. 16 CP). Plus la réaction de celui qui se défend aura atteint ou menacé l'agresseur, plus le juge se montrera exigeant quant au degré d'excitation ou de saisissement nécessaire (ATF 102 IV 1 consid. 3b; TF 6B_922/2018 du 9 janvier 2020, précité, consid. 2.2 in fine).</w:t>
      </w:r>
    </w:p>
    <w:p>
      <w:r>
        <w:rPr>
          <w:b/>
        </w:rPr>
        <w:t>E. 5.1</w:t>
      </w:r>
    </w:p>
    <w:p>
      <w:r>
        <w:t>L’appelant a finalement admis aux débats de première instance qu’il avait frappé M.________ au moyen d’une « bouteille de café », avant de le mordre (jugement, pp. 7 s.). Il considère cependant que le jugement est erroné lorsqu’il retient qu’il avait fait un pas en avant en direction de son adversaire avant de le frapper avec une bouteille en verre. L’appelant soutient qu’en réalité, il a saisi la bouteille lorsque son colocataire lui fonçait dessus. Ce n’est qu’ensuite, toujours selon lui, qu’il s’est rapproché de son adversaire pour le saisir par le cou et le mordre.</w:t>
      </w:r>
    </w:p>
    <w:p>
      <w:r>
        <w:rPr>
          <w:b/>
        </w:rPr>
        <w:t>E. 5.2</w:t>
      </w:r>
    </w:p>
    <w:p>
      <w:r>
        <w:t>L’argumentation de l’appelant est incohérente. En effet, si M.________ avait foncé sur l’appelant, on ne comprendrait pas comment ce dernier peut soutenir être allé seulement après à sa rencontre pour le saisir par le cou. Ce serait éventuellement possible si M.________, après avoir reçu la bouteille sur la tête, avait reculé suffisamment pour permettre à l’appelant de se diriger vers lui afin de le saisir par le cou et de le mordre. Mais l’appelant ne soutient pas que M.________ a reculé. La version qu’il présente défie donc la logique. Pour sa part, [...], entendu le 23 février 2019 en qualité de personne appelée à donner des renseignements, a relaté ce qui suit : « Lors de l’échange verbal, M. [...] a saisi un pot en verre puis l’a balancé en direction de M. [...]. Là, ce dernier l’a ramassé puis, avec sa main droite, a brisé la carafe en verre en dessus de l’oreille gauche de M. [...] » (PV aud. 1, R. 7, p. 2). Rien dans ce que rapporte le veilleur de nuit ne permet de retenir une attaque soudaine de M.________ à l’encontre de l’appelant. Il n’y a aucune raison de ne pas croire le surveillant et l’appelant n’en donne d’ailleurs aucune. Selon ce que rapporte le veilleur de nuit, M.________ n’a rien fait d’autre que de lancer, par bravache, un objet en verre en direction de l’appelant. Il n’a pas utilisé la force, sinon l’objet en verre se serait brisé lorsqu’il a atterri au sol. On observe encore que c’est l’appelant qui est à l’origine de la dispute. Rien dans le déroulement des faits n’indique qu’il avait à redouter de son colocataire qui a au contraire cherché l’aide d’un tiers – le veilleur de nuit – afin d’imposer le silence dans la chambre qu’il partageait avec l’appelant. C’est dire que M.________ n’entendait pas utiliser la force pour régler la situation. Le jugement est en définitive exact lorsqu’il retient que l’appelant a frappé son adversaire avec la bouteille sans retenir, comme le voudrait l’appelant, que l’auteur a agi dans un geste de défense, totale ou excusable, l'auteur n'étant alors pas en proie à l'excitation ou au saisissement, respectivement ne présentait pas un état de trouble excusable (cf. ATF 115 IV 167 consid. 1a p. 169; TF 6B_922/2018 du 9 janvier 2020, précité, consid. 2.2 in fine). La version qu’il faut raisonnablement retenir exclut ainsi toute forme de légitime défense, étant précisé que l’appelant ne la plaide pas en relation avec l’acte de mordre son adversaire. On ne discerne donc aucune violation du droit, en particulier sous l’angle des art. 15 et 16 CP. La condamnation de l’appelant pour lésions corporelles simples qualifiées et voies de fait, infractions dont les qualifications sont non contestées en elles-mêmes, doit dès lors être confirmée.</w:t>
      </w:r>
    </w:p>
    <w:p>
      <w:r>
        <w:rPr>
          <w:b/>
        </w:rPr>
        <w:t>E. 6.1</w:t>
      </w:r>
    </w:p>
    <w:p>
      <w:r>
        <w:t>Selon l’art. 34 al. 1 CP, sauf disposition contraire, la peine pécuniaire est de trois jours-amende au moins et ne peut excéder 180 jours-amende; le juge fixe leur nombre en fonction de la culpabilité de l’auteur.</w:t>
      </w:r>
    </w:p>
    <w:p>
      <w:r>
        <w:rPr>
          <w:b/>
        </w:rPr>
        <w:t>E. 6.2</w:t>
      </w:r>
    </w:p>
    <w:p>
      <w:r>
        <w:t>Subsidiairement, l’appelant conclut à ce qu’il soit condamné à une peine pécuniaire de 180 jours-amende au maximum, Pour ce qui est du genre de la peine, en fixant, à bon droit, la peine à huit mois (cf. consid. 7.2 ci-dessous), les premiers juges ne pouvaient que prononcer une peine privative de liberté (art. 35 al. 1, 1 re phrase CP, a contrario). Reste à examiner la quotité de la peine.</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TF 6B_537/2020 du 29 septembre 2020 consid. 1.1).</w:t>
      </w:r>
    </w:p>
    <w:p>
      <w:r>
        <w:rPr>
          <w:b/>
        </w:rPr>
        <w:t>E. 7.2</w:t>
      </w:r>
    </w:p>
    <w:p>
      <w:r>
        <w:t>L’acte incriminé est grave. L’appelant a donc mis une forte énergie pour briser le récipient sur la tête de sa victime. Les conséquences de son geste auraient ainsi pu être nettement plus graves. L’auteur ne s’est pas contenté de frapper sa victime, mais l’a ensuite mordue au visage. Son mobile est futile. C’est l’appelant et non son colocataire qui est à l’origine de la bagarre. La prise de conscience est faible. A décharge, l’appelant peut faire valoir une bonne intégration professionnelle. Il poursuit son apprentissage et débutera en août 2021 une formation complémentaire de cuisinier. Il a fini par admettre que son comportement était « incorrect » (jugement, p. 8 in initio). L’absence d’antécédent est un facteur neutre au regard de l’art. 47 CP (ATF 136 IV 1). Procédant à sa propre appréciation, la Cour considère qu’une peine privative de liberté de huit mois est adéquate. L’amende réprimant les voies de fait, qui n’est pas contestée, est adéquate et doit être confirmée.</w:t>
      </w:r>
    </w:p>
    <w:p>
      <w:r>
        <w:rPr>
          <w:b/>
        </w:rPr>
        <w:t>E. 8.1</w:t>
      </w:r>
    </w:p>
    <w:p>
      <w:r>
        <w:t>Conformément à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TF 6B_1192/2019 du 28 février 2020 consid. 2.1; TF 6B_529/2019 du 5 juin 2019 consid. 3.1; TF 6B_1339/2016 du 23 mars 2017 consid. 1.1.2; TF 6B_1227/2015 du 29 juillet 2016 consid. 1.2.1).</w:t>
      </w:r>
    </w:p>
    <w:p>
      <w:r>
        <w:rPr>
          <w:b/>
        </w:rPr>
        <w:t>E. 8.2</w:t>
      </w:r>
    </w:p>
    <w:p>
      <w:r>
        <w:t>L’appelant conteste enfin la durée du délai d’épreuve du sursis. Comme déjà relevé, l’appelant peine à se remettre en question. Pourtant, l’altercation est initialement de son fait. Ce déni partiel dénote un manque de prise de conscience. L’appelant convoque rapidement la violence pour régler ses problèmes, s’agissant même d’un différend futile. Il franchit le passage à l’acte avec une trop grande aisance. Un tel comportement induit un risque de réitération relativement significatif. Ces éléments commandent un délai d’épreuve légèrement supérieur au minimum légal, qui sera fixé à trois ans.</w:t>
      </w:r>
    </w:p>
    <w:p>
      <w:r>
        <w:rPr>
          <w:b/>
        </w:rPr>
        <w:t>E. 9</w:t>
      </w:r>
    </w:p>
    <w:p>
      <w:r>
        <w:t>Vu l’issue de l’appel, les frais d’appel (art. 21 al. 1 et 2 TFIP [Tarif des frais de procédure et indemnités en matière pénale du 28 septembre 2010; RSV 312.03.1]) seront mis à la charge de l’appelant, qui succombe (art. 428 al. 1, 1 re phrase, CPP). Outre l’émolument, les frais d’appel comprennent l’indemnité en faveur du défenseur d’office de l’appelant (art. 422 al. 1 et al. 2 let. a CPP). Cette indemnité doit être arrêtée sur la base de la liste d’opérations produite (P. 106), à cette réserve près que la durée d’activité indiquée au titre de la rédaction de la déclaration d’appel (7 heures au total, en deux opérations) doit être ramenée à 4 heures et 50 minutes, s’agissant d’une cause sans difficulté particulière et qui, de surcroît, avait déjà été plaidée en première instance, par le même mandataire. Une durée de 30 minutes doit être ajoutée pour l’audience d’appel. La durée d’activité à prendre en compte pour la procédure d’appel, toutes opérations confondues, est donc de 15 heures (16 heures et 40 minutes - 2 heures et 10 minutes + une demie heure), au tarif horaire de 180 francs. Il convient d’ajouter aux honoraires des débours forfaitaires à concurrence de 2 % (art. 3 bis al. 1 RAJ [Règlement du 7 décembre 2010 sur l'assistance judiciaire en matière civile; BLV 211.02.3], applicable par renvoi de l’art. 26b TFIP), ainsi qu’une vacation de 120 fr. pour l’audience d’appel, plus la TVA sur le tout. L’indemnité s’élève donc à 3'095 fr. 30, débours et TVA compris.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