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415 vom 15. September 2020</w:t>
      </w:r>
    </w:p>
    <w:p>
      <w:r>
        <w:t>VD Tribunal cantonal, 2020-09-15, FR</w:t>
      </w:r>
    </w:p>
    <w:p>
      <w:r>
        <w:rPr>
          <w:b/>
        </w:rPr>
        <w:t xml:space="preserve">Quelle: </w:t>
      </w:r>
      <w:r>
        <w:t>https://mcp.opencaselaw.ch/entscheid/vd_findinfo_Jug___2020___415</w:t>
      </w:r>
    </w:p>
    <w:p>
      <w:r>
        <w:t>FR: VD_FINDINFO Jug / 2020 / 415 du 15 septembre 2020</w:t>
      </w:r>
    </w:p>
    <w:p>
      <w:r>
        <w:t>IT: VD_FINDINFO Jug / 2020 / 415 del 15 settembre 2020</w:t>
      </w:r>
    </w:p>
    <w:p>
      <w:pPr>
        <w:pStyle w:val="Heading2"/>
      </w:pPr>
      <w:r>
        <w:t>Regeste</w:t>
      </w:r>
    </w:p>
    <w:p>
      <w:r>
        <w:t>RÉCUSATION, DROIT D'ÊTRE ENTENDU, ATTRIBUTION DE L'EFFET SUSPENSIF, DROIT À UNE AUTORITÉ INDÉPENDANTE ET IMPARTIALE, REJET DE LA DEMANDE | 56 CPP, 57 CPP</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En l’espèce, le recours est dirigé contre des membres de l’autorité de recours, si bien que la demande de récusation doit être tranchée par trois membres composant la juridiction d’appel.</w:t>
      </w:r>
    </w:p>
    <w:p>
      <w:r>
        <w:rPr>
          <w:b/>
        </w:rPr>
        <w:t>E. 2</w:t>
      </w:r>
    </w:p>
    <w:p>
      <w:r>
        <w:t>A titre liminaire, le requérant fait grief à la Chambre des recours pénale de ne pas lui avoir communiqué d’emblée la composition de la Cour. L’art. 331 al. 1 CPP prévoit que la direction de la procédure fait connaître aux parties la composition du tribunal. Cette disposition concerne les débats devant le tribunal de première instance et ne vaut pas sans autre distinction pour la procédure écrite de recours stricto sensu (TF 6B_671/2018 du 15 octobre 2019). Le grief, pour autant qu’il ait une portée, est infondé.</w:t>
      </w:r>
    </w:p>
    <w:p>
      <w:r>
        <w:rPr>
          <w:b/>
        </w:rPr>
        <w:t>E. 3.1</w:t>
      </w:r>
    </w:p>
    <w:p>
      <w:r>
        <w:t>Le requérant fait valoir que Q.________ et N.________, membres de la Cour amenée à statuer sur le recours déposé par le Ministère public, se sont déjà prononcés dans la même cause en tant que membre de la Chambre des recours pénale, ce qui ferait craindre une prévention de leur part. Il reproche encore au Président Q.________ d’avoir violé son droit d’être entendu, de n’avoir pas répondu à ses interpellations et d’avoir avantagé l’autorité intimée à son détriment dans le cadre de la réception de la cause et de l’octroi de l’effet suspensif.</w:t>
      </w:r>
    </w:p>
    <w:p>
      <w:r>
        <w:rPr>
          <w:b/>
        </w:rPr>
        <w:t>E. 3.2.1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w:t>
      </w:r>
    </w:p>
    <w:p>
      <w:r>
        <w:rPr>
          <w:b/>
        </w:rPr>
        <w:t>E. 3.2.2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w:t>
      </w:r>
    </w:p>
    <w:p>
      <w:r>
        <w:rPr>
          <w:b/>
        </w:rPr>
        <w:t>E. 3.3</w:t>
      </w:r>
    </w:p>
    <w:p>
      <w:r>
        <w:t>En l’espèce, la procédure dont a à connaître la Chambre des recours pénale ensuite du recours déposé par le Ministère public peut être qualifiée de procédure postérieure au jugement. Le requérant ne prétend pas que les magistrats visés par sa demande de récusation ont déjà siégé à un autre titre dans cette même cause, si bien que le motif de récusation ne repose pas sur l’art. 56 let. b CPP. En effet, les juges Q.________ et N.________ ont fonctionné par le passé en qualité de membre de la même autorité, à savoir la Chambre des recours pénale ; cette circonstance ne constitue en soi pas un cas de récusation. Le requérant ne fait au demeurant pas valoir des circonstances exceptionnelles au sens de la jurisprudence précitée (cf. supra consid. 3.2.1) permettant de justifier une récusation. Si le requérant se prévaut d’une suspicion de prévention au sens de l’art. 56 let. f CPP, il lui appartenait de l’établir de manière objective, ce qu’il n’a pas fait. En particulier, aucune faute ne paraît pouvoir être reprochée au Président Q.________ s’agissant de la réception de la cause et de l’octroi de l’effet suspensif, ni de violation du droit d’être entendu. 3. Il résulte de ce qui précède que la demande de récusation, manifestement mal fondée, doit être rejetée. Vu l’issue de la cause, les frais de la procédure de récusation, constitués en l’espèce de l’émolument de décision, par 770 fr. (art. 22 TFIP [tarif des frais de procédure et indemnités en matière pénale du 28 septembre 2010 ; BLV 312.03.1] qui renvoie à l’art. 21 al. 1 TFIP), ainsi que de l’indemnité allouée au défenseur d’office du requérant, fixée à 395 fr. 50 – qui, compte tenu des écritures, comprend des honoraires par 360 fr. (2 heures à 180 fr./heure), des débours forfaitaires de 2%, par 7 fr. 20 (cf. art. 26b TFIP qui renvoie à l'art. 3 bis RAJ [règlement sur l’assistance judiciaire en matière civile du 7 décembre 2010; BLV 211.02.3]), et la TVA sur le tout, au taux de 7,7%, par 28 fr. 30 –, le tout totalisant 1'165 fr. 50, doivent être mis à la charge de A.________, qui succombe (art. 59 al. 4 CPP). Le remboursement à l'Etat de l'indemnité allouée au défenseur d'office du recourant ne sera exigible que pour autant que la situation financière de ce dernier le permette (art. 135 al. 4 CPP).</w:t>
      </w:r>
    </w:p>
    <w:p>
      <w:r>
        <w:rPr>
          <w:b/>
        </w:rPr>
        <w:t>E. 6</w:t>
      </w:r>
    </w:p>
    <w:p>
      <w:r>
        <w:t>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