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394 vom 20. Februar 2020</w:t>
      </w:r>
    </w:p>
    <w:p>
      <w:r>
        <w:t>VD Tribunal cantonal, 2020-02-20, FR</w:t>
      </w:r>
    </w:p>
    <w:p>
      <w:r>
        <w:rPr>
          <w:b/>
        </w:rPr>
        <w:t xml:space="preserve">Quelle: </w:t>
      </w:r>
      <w:r>
        <w:t>https://mcp.opencaselaw.ch/entscheid/vd_findinfo_Jug___2020___394</w:t>
      </w:r>
    </w:p>
    <w:p>
      <w:r>
        <w:t>FR: VD_FINDINFO Jug / 2020 / 394 du 20 février 2020</w:t>
      </w:r>
    </w:p>
    <w:p>
      <w:r>
        <w:t>IT: VD_FINDINFO Jug / 2020 / 394 del 20 febbraio 2020</w:t>
      </w:r>
    </w:p>
    <w:p>
      <w:pPr>
        <w:pStyle w:val="Heading2"/>
      </w:pPr>
      <w:r>
        <w:t>Regeste</w:t>
      </w:r>
    </w:p>
    <w:p>
      <w:r>
        <w:t>MOTIF DE RÉVISION, DÉCISION D'IRRECEVABILITÉ | 410 CPP (CH)</w:t>
      </w:r>
    </w:p>
    <w:p>
      <w:pPr>
        <w:pStyle w:val="Heading2"/>
      </w:pPr>
      <w:r>
        <w:t>Erwägungen</w:t>
      </w:r>
    </w:p>
    <w:p>
      <w:r>
        <w:rPr>
          <w:b/>
        </w:rPr>
        <w:t>E. 1.1</w:t>
      </w:r>
    </w:p>
    <w:p>
      <w:r>
        <w:t>et les références citées).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137 IV 59 précité consid. 5.1.4 ; ATF 130 IV 72 précité ; TF 6B_574/2019 précité).</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Jeanneret/Kuhn/Perrier Depeursinge [éd.], Commentaire romand, Code de procédure pénale suisse, 2 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 882/2017 du 23 mars 2018). Les conditions d'une révision visant une ordonnance pénale sont restrictives. L'ordonnance pénale est rendue dans le cadre d'une procédure spéciale (art. 352ss CPP). Elle a pour spécificité de contraindre le condamné à prendre position. Une absence de réaction de la part du condamné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en manifestant son opposition (ATF 130 IV 72 consid. 2.3). Il s'ensuit qu'une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nouveau droit de procédure le 1 er janvier 2011, garde sa portée (TF 6B_1138/2014 du 16 janvier 2015 consid. 1.3 ; TF 6B 415/2012 du 14 décembre 2012 consid. 2.3 ; TF 6B_310/2011 du 20 juin 2011 consid. 1.3 ; CAPE 13 mars 2017/121).</w:t>
      </w:r>
    </w:p>
    <w:p>
      <w:r>
        <w:rPr>
          <w:b/>
        </w:rPr>
        <w:t>E. 2.1</w:t>
      </w:r>
    </w:p>
    <w:p>
      <w:r>
        <w:t>La demande de révision déposée par le SCTP pour Q.________ se fonde sur un certificat médical du Dr N.________ du 16 juillet 2020, selon lequel, après son accident de la circulation du 14 juin 2019, elle avait été adressée en septembre 2019 au centre d’investigation et de recherche sur le sommeil du CHUV pour des investigations concernant une somnolence diurne. Suite aux examens qu’elle a subis, un diagnostic d’hypersomnie idiopathique a pu être retenu. Le SCTP explique que ce diagnostic n’était pas connu précédemment par la patiente et que celle-ci n’était donc pas consciente, au moment de l’accident, qu’elle se trouvait en incapacité de conduire.</w:t>
      </w:r>
    </w:p>
    <w:p>
      <w:r>
        <w:rPr>
          <w:b/>
        </w:rPr>
        <w:t>E. 2.2.1</w:t>
      </w:r>
    </w:p>
    <w:p>
      <w:r>
        <w:t>En premier lieu, Q.________ se savait être l’objet d’investigations du centre de sommeil du CHUV dès le mois de septembre 2019. Toutefois, à aucun moment elle n’en a informé le procureur en charge de son dossier, lequel, s’il avait eu connaissance de la situation aurait certainement attendu les résultats médicaux avant de rendre son ordonnance pénale. Au contraire, la prévenue s’est désintéressée de la procédure au point qu’elle n’a même pas retiré le pli contenant l’ordonnance pénale qui lui avait été notifiée (P. 16). Quoi qu’il en soit, elle aurait pu faire opposition à l’ordonnance pénale et faire valoir ses moyens dans le cadre de la procédure des art. 355 ss CPP relative à l’ordonnance pénale.</w:t>
      </w:r>
    </w:p>
    <w:p>
      <w:r>
        <w:rPr>
          <w:b/>
        </w:rPr>
        <w:t>E. 2.2.2</w:t>
      </w:r>
    </w:p>
    <w:p>
      <w:r>
        <w:t>Ensuite et surtout, la condamnation pour conduite en état d’incapacité repose sur un double motif, à savoir la conduite sous l’influence de médicaments, et la fatigue. Or, il résulte de l’expertise de l’analyse de sang ordonnée par le procureur que, du point de vue toxicologique, l’influence des médicaments consommés par la prévenue réduisait sa capacité de conduire (P. 10 du dossier). En particulier, l’analyse du sang a mis en évidence la présence de benzodiazépines, alors que la prévenue n’a pas déclaré en avoir consommé, et qu’une telle substance psychotrope ne fait pas partie des médicaments prescrits par son psychiatre. Il en résulte donc que la perte de maîtrise s’explique déjà par une consommation illicite de médicament, cette perte de maîtrise étant par conséquent fautive. L’avis médical produit par la requérante n’est donc pas de nature à modifier la condamnation de la prévenue pour violation des règles de la circulation routière et conduite en état d’incapacité, l’appréciation de la culpabilité ne s’en trouvant modifiée que dans une très faible mesure, au point qu’une procédure de révision ne se justifie pas (cf. consid. 1.1 supra ).</w:t>
      </w:r>
    </w:p>
    <w:p>
      <w:r>
        <w:rPr>
          <w:b/>
        </w:rPr>
        <w:t>E. 3</w:t>
      </w:r>
    </w:p>
    <w:p>
      <w:r>
        <w:t>Il résulte de ce qui précède que la demande de révision déposée par Q.________ doit être déclarée irrecevable, sans échange d’écritures (art. 412 al. 2 CPP). Le présent prononcé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