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392 vom 21. Oktober 2020</w:t>
      </w:r>
    </w:p>
    <w:p>
      <w:r>
        <w:t>VD Tribunal cantonal, 2020-10-21, FR</w:t>
      </w:r>
    </w:p>
    <w:p>
      <w:r>
        <w:rPr>
          <w:b/>
        </w:rPr>
        <w:t xml:space="preserve">Quelle: </w:t>
      </w:r>
      <w:r>
        <w:t>https://mcp.opencaselaw.ch/entscheid/vd_findinfo_Jug___2020___392</w:t>
      </w:r>
    </w:p>
    <w:p>
      <w:r>
        <w:t>FR: VD_FINDINFO Jug / 2020 / 392 du 21 octobre 2020</w:t>
      </w:r>
    </w:p>
    <w:p>
      <w:r>
        <w:t>IT: VD_FINDINFO Jug / 2020 / 392 del 21 ottobre 2020</w:t>
      </w:r>
    </w:p>
    <w:p>
      <w:pPr>
        <w:pStyle w:val="Heading2"/>
      </w:pPr>
      <w:r>
        <w:t>Regeste</w:t>
      </w:r>
    </w:p>
    <w:p>
      <w:r>
        <w:t>RÉVISION{DÉCISION} | 411 CPP (CH), 412 al. 2 CPP (CH)</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 e phrase,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6B_574/2019 du 9 septembre 2019 consid. 1.1 et les références citées). Les faits ou moyens de preuve sont nouveaux lorsque le juge n'en a pas eu connaissance au moment où il s'est prononcé, c'est-à-dire lorsqu'ils ne lui ont pas été soumis sous quelque forme que ce soit (ATF 137 IV 59 consid. 5.1.2;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ATF 130 IV 72 précité; TF 6B_574/2019 précité).</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 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Cette jurisprudence, rendue avant l'entrée en vigueur du nouveau droit de procédure le 1 er janvier 2011, garde sa portée (TF 6B_509/2016 du 21 décembre 2016 consid. 2; TF 6B_1291/2015 du 14 mars 2016 consid. 4.1 et les arrêts cités; CAPE 4 novembre 2019/301; CAPE 27 septembre 2019/398).</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TF 6B_574/2019 précité et les références citées). L'examen préalable de la demande de révision relève de la procédure écrite (art. 412 al. 1 CPP).</w:t>
      </w:r>
    </w:p>
    <w:p>
      <w:r>
        <w:rPr>
          <w:b/>
        </w:rPr>
        <w:t>E. 1.4</w:t>
      </w:r>
    </w:p>
    <w:p>
      <w:r>
        <w:t>Les autorités pénales notifient leurs prononcés par lettre signature ou par tout autre mode de communication impliquant un accusé de réception, notam­ment par l'entremise de la police (art. 85 al. 2 CPP). Un prononcé est réputé notifié lorsque, expédié par lettre signature, il n'a pas été retiré dans les sept jours à compter de la tentative infructueuse de remise du pli, si la personne concernée devait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Il est admis que la personne concernée doit s'attendre à la remise d'un prononcé lorsqu'elle est au courant qu'elle fait l'objet d'une instruction pénale au sens de l'art. 309 CPP (TF 6B_723/2020 du 2 septembre 2020 consid. 1.1.1;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ATF 141 II 429 consid. 3.1 p. 431 s.; ATF 139 IV 228 consid. 1.1 p. 230 et les références citées; TF 6B_936/2018 du 4 décembre 2018 consid. 1.1).</w:t>
      </w:r>
    </w:p>
    <w:p>
      <w:r>
        <w:rPr>
          <w:b/>
        </w:rPr>
        <w:t>E. 2.1</w:t>
      </w:r>
    </w:p>
    <w:p>
      <w:r>
        <w:t>En l’espèce, le requérant soutient que, s’il ne s’est pas présenté au cours de protection civile prévu du 10 au 14 septembre 2018, c’était du fait qu’il n’avait pas pris connaissance de la convocation du 25 juin 2018 et, de surcroît, en raison de son état de santé (mémoire de révision, pt 8). De même, il soutient ne pas avoir reçu l’ordonnance pénale du 26 octobre 2018 et ne pas en avoir eu connaissance avant qu’un ordre d’exécution de peine du 30 juin 2020 ne lui soit notifié (mémoire de révision, pt 9; P. 8/2/8). Le moyen soulevé en procédure de révision aurait sans autre pu l’être devant le Ministère public par une opposition selon l’art. 354 CPP, voie de droit prévue à cet effet. Il en va de même de celui articulé dans la lettre du 24 août 2020. Le requérant n’en a toutefois rien fait. Or, comme déjà relevé, la révision constitue un moyen de droit extraordinaire et subsidiaire qui ne doit pas servir à pallier l'oubli d'un moyen de droit dit ordinaire.</w:t>
      </w:r>
    </w:p>
    <w:p>
      <w:r>
        <w:rPr>
          <w:b/>
        </w:rPr>
        <w:t>E. 2.2</w:t>
      </w:r>
    </w:p>
    <w:p>
      <w:r>
        <w:t>Cela étant, force est de reconnaître que la fiction de notification n’est pas applicable ici. En effet, l’ordonnance pénale a été rendue ensuite d’une dénonciation au Ministère public par le Service de la sécurité civile et militaire du 18 octobre 2018 (P. 4) et le requérant n’a pas été entendu par la Procureure. On ne peut ainsi pas retenir que G.________ se savait l’objet d’une enquête pénale et qu’il devait ainsi s’attendre à ce qu’une décision lui soit adressée et faire en sorte qu’elle l’atteigne (cf. la jurisprudence résumée au consid. 1.4 ci-dessus).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et les références citées; TF 6B_552/2015 du 3 août 2016 consid. 2.5; TF 6B_264/2014 du 8 juillet 2014 consid. 2.1). Dans le cas particulier, le requérant a en tout cas pu soupçonner l’existence d’une condamnation pénale lorsqu’il a reçu l’ordre d’exécution de peine daté du 30 juin 2020, selon ce qu’il admet lui-même (mémoire de révision, pt 9; P. 8/2/8). Le principe de la bonne foi commandait qu’il entreprenne aussitôt toutes les démarches utiles, par exemple celle de déposer une opposition à sa condamnation. Or, la seule démarche qu’il a entreprise a été celle d’écrire au Ministère public sept semaines plus tard pour demander qu’on lui communique l’ordonnance pénale. Force est ainsi de considérer que le requérant a tardé fautivement à utiliser la voie de droit adéquate, soit l’opposition à l’ordonnance pénale selon l’art. 354 CPP, comme déjà relevé. Partant, la demande de révision s’avère irrecevable. La Cour ne saurait dès lors entrer en matière.</w:t>
      </w:r>
    </w:p>
    <w:p>
      <w:r>
        <w:rPr>
          <w:b/>
        </w:rPr>
        <w:t>E. 3</w:t>
      </w:r>
    </w:p>
    <w:p>
      <w:r>
        <w:t>Les frais de la procédure de révision, par 660 fr. (art. 21 al. 1 et 22 TFIP [Tarif des frais de procédure et indemnités en matière pénale du 28 septembre 2010;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