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390 vom 9. Juni 2020</w:t>
      </w:r>
    </w:p>
    <w:p>
      <w:r>
        <w:t>VD Tribunal cantonal, 2020-06-09, FR</w:t>
      </w:r>
    </w:p>
    <w:p>
      <w:r>
        <w:rPr>
          <w:b/>
        </w:rPr>
        <w:t xml:space="preserve">Quelle: </w:t>
      </w:r>
      <w:r>
        <w:t>https://mcp.opencaselaw.ch/entscheid/vd_findinfo_Jug___2020___390</w:t>
      </w:r>
    </w:p>
    <w:p>
      <w:r>
        <w:t>FR: VD_FINDINFO Jug / 2020 / 390 du 9 juin 2020</w:t>
      </w:r>
    </w:p>
    <w:p>
      <w:r>
        <w:t>IT: VD_FINDINFO Jug / 2020 / 390 del 9 giugno 2020</w:t>
      </w:r>
    </w:p>
    <w:p>
      <w:pPr>
        <w:pStyle w:val="Heading2"/>
      </w:pPr>
      <w:r>
        <w:t>Regeste</w:t>
      </w:r>
    </w:p>
    <w:p>
      <w:r>
        <w:t>RÉCUSATION, REJET DE LA DEMANDE | 56 CPP (CH)</w:t>
      </w:r>
    </w:p>
    <w:p>
      <w:pPr>
        <w:pStyle w:val="Heading2"/>
      </w:pPr>
      <w:r>
        <w:t>Erwägungen</w:t>
      </w:r>
    </w:p>
    <w:p>
      <w:r>
        <w:rPr>
          <w:b/>
        </w:rPr>
        <w:t>E. 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2.1</w:t>
      </w:r>
    </w:p>
    <w:p>
      <w:r>
        <w:t>et les arrêts cités).</w:t>
      </w:r>
    </w:p>
    <w:p>
      <w:r>
        <w:rPr>
          <w:b/>
        </w:rPr>
        <w:t>E. 2.2</w:t>
      </w:r>
    </w:p>
    <w:p>
      <w:r>
        <w:t>L'art. 56 let. a à e CPP énonce divers motifs de récusation qualifiés à l'égard de toute personne exerçant une fonction au sein d'une autorité pénale.</w:t>
      </w:r>
    </w:p>
    <w:p>
      <w:r>
        <w:rPr>
          <w:b/>
        </w:rPr>
        <w:t>E. 2.2.1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s’entend de manière formelle, c’est-à-dire comme la procédure ayant conduit à la décision attaquée ou devant conduire à celle attendue. Elle implique une identité de parties, de procédure et de questions litigieuses (ATF 143 IV 69 consid. 3.1 ; ATF 133 I 89 consid. 3.2). Le cas de récusation visé par cette disposition présuppose aussi que le magistrat en question ait agi à « un autre titre », soit dans des fonctions différentes (TF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143 IV 69 précité ; TF 6B_621/2011 du 19 décembre 2011 consid. 2.3.2 et les références citées). La garantie du juge impartial ne commande pas non plus la récusation d’un juge au simple motif qu’il a, dans une procédure antérieure – voire dans la même affaire (TF 4A_151/2012 du 4 juin 2012 consid. 2.2) –, tranché en défaveur du requérant (ATF 143 IV 69 précité; ATF 129 III 445 consid. 4.2.2.2 ; ATF 114 Ia 278 consid. 1).</w:t>
      </w:r>
    </w:p>
    <w:p>
      <w:r>
        <w:rPr>
          <w:b/>
        </w:rPr>
        <w:t>E. 2.2.2</w:t>
      </w:r>
    </w:p>
    <w:p>
      <w:r>
        <w:t>L'art. 56 let. f CPP dispose qu'un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et</w:t>
      </w:r>
    </w:p>
    <w:p>
      <w:r>
        <w:rPr>
          <w:b/>
        </w:rPr>
        <w:t>E. 2.3</w:t>
      </w:r>
    </w:p>
    <w:p>
      <w:r>
        <w:t>En l’espèce, il ressort du jugement entrepris que la prévenue avait été renvoyée en jugement avec les trois auteurs d’actes sexuels sur D.________, mais qu’en raison de son absence aux débats, sa cause a été disjointe. Il est évident que les deux causes relèvent du même complexe de faits, mais que les rôles des uns et des autres ne sont pas identiques. Rien ne permet de considérer que les juges d’appel, qui ont statué le 16 juin 2020 sur les abus dont la plaignante avait été victime, ne sont pas capables de tenir compte du fait que la prévenue n’a pas participé à ceux-ci. Il n’y a donc pas lieu de craindre que ces juges soient influencés par l’ensemble des faits commis au détriment de la victime. Par ailleurs, les circonstances précitées ne donnent pas l’apparence d’une quelconque prévention. Il s'ensuit que les griefs fondés sur l'art. 56 let. b et f CPP doivent être rejetés. 3. En définitive, la demande de récusation, manifestement mal fondée, doit être rejetée. Vu l'issue de la cause, les frais de la procédure de récusation, par 550 fr., doivent être mis à la charge de T.________, qui succombe (art. 59 al. 4 CPP).</w:t>
      </w:r>
    </w:p>
    <w:p>
      <w:r>
        <w:rPr>
          <w:b/>
        </w:rPr>
        <w:t>E. 6</w:t>
      </w:r>
    </w:p>
    <w:p>
      <w:r>
        <w:t>par.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 ATF 138 IV 142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