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360 vom 18. Mai 2020</w:t>
      </w:r>
    </w:p>
    <w:p>
      <w:r>
        <w:t>VD Tribunal cantonal, 2020-05-18, FR</w:t>
      </w:r>
    </w:p>
    <w:p>
      <w:r>
        <w:rPr>
          <w:b/>
        </w:rPr>
        <w:t xml:space="preserve">Quelle: </w:t>
      </w:r>
      <w:r>
        <w:t>https://mcp.opencaselaw.ch/entscheid/vd_findinfo_Jug___2020___360</w:t>
      </w:r>
    </w:p>
    <w:p>
      <w:r>
        <w:t>FR: VD_FINDINFO Jug / 2020 / 360 du 18 mai 2020</w:t>
      </w:r>
    </w:p>
    <w:p>
      <w:r>
        <w:t>IT: VD_FINDINFO Jug / 2020 / 360 del 18 maggio 2020</w:t>
      </w:r>
    </w:p>
    <w:p>
      <w:pPr>
        <w:pStyle w:val="Heading2"/>
      </w:pPr>
      <w:r>
        <w:t>Regeste</w:t>
      </w:r>
    </w:p>
    <w:p>
      <w:r>
        <w:t>TENTATIVE{DROIT PÉNAL}, LÉSION CORPORELLE GRAVE, LOI FÉDÉRALE SUR LES ÉTRANGERS, EXPULSION{DROIT PÉNAL}, FIXATION DE LA PEINE, FIXATION DE L'AMENDE, PEINE D'ENSEMBLE, CONSTATATION DES FAITS | 22 ad 122 CP, 34 CP, 40 CP, 49 al. 1 CP, 51 CP, 66a al. 1 let. b CP, 66a CP, 115 al. 1 let. c LEI</w:t>
      </w:r>
    </w:p>
    <w:p>
      <w:pPr>
        <w:pStyle w:val="Heading2"/>
      </w:pPr>
      <w:r>
        <w:t>Erwägungen</w:t>
      </w:r>
    </w:p>
    <w:p>
      <w:r>
        <w:rPr>
          <w:b/>
        </w:rPr>
        <w:t>E. 1</w:t>
      </w:r>
    </w:p>
    <w:p>
      <w:r>
        <w:t>CPP),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Invoquant une constatation erronée des faits, l’appelant conteste les faits du cas 1 retenus à sa charge. Substituant sa propre appréciation du visionne­ment des images tirées de la caméra de surveillance du shop R.________ à celle des premiers juges, l’appelant se positionne en victime. Il soutient qu’il a regardé A.________ dans le shop de la station-service car il croyait l’avoir reconnu, que tous deux ont entamé une discussion, que A.________ l’a insulté, que l’on ignore lequel des deux a ouvert la portière conducteur du véhicule de A.________, qu’il a tenté de retenir A.________ pour qu’il ne sorte pas de son véhicule, que A.________ a donné les premiers coups, lui assénant à tout le moins deux violents coups de poing au visage, que le dénommé «  [...]» s’est mis à deux reprises entre les deux pour les séparer, qu’ [...] a tenu A.________ car ce dernier le frappait et qu’ [...] n’a donné aucun coup à A.________.</w:t>
      </w:r>
    </w:p>
    <w:p>
      <w:r>
        <w:rPr>
          <w:b/>
        </w:rPr>
        <w:t>E. 3.2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CR CPP,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w:t>
      </w:r>
    </w:p>
    <w:p>
      <w:r>
        <w:rPr>
          <w:b/>
        </w:rPr>
        <w:t>E. 3.3</w:t>
      </w:r>
    </w:p>
    <w:p>
      <w:r>
        <w:t>En l’espèce, les premiers juges n’ont pas cru aux explications du prévenu et à ses dénégations, mais ils ont acquis la conviction que les faits se sont déroulés tels qu’ils ressortent de l’acte d’accusation, se fondant sur les déclarations de A.________ et sur les images de la caméra de surveillance du shop R.________ qui les confirment. Cette appréciation ne peut qu’être suivie. En effet, la thèse de l’appe­lant, qui affirme avoir été agressé par A.________, ne convainc pas. Tout d’a­bord, il ressort des images tirées de la caméra de surveillance du shop que le prévenu s’en est pris verbalement à A.________ lorsqu’il attendait à la caisse du shop, que le prévenu s’est retourné à deux reprises, lorsqu’il était lui-même en train de payer à caisse du shop, pour regarder dans quelle direction A.________ s’en allait, qu’à sa sortie du shop, il s’est d’emblée dirigé prestement vers la voiture de A.________ alors que celui-ci était en train de manœuvrer et de quitter la place de stationnement qu’il occupait et que le prévenu a alors ouvert la portière conduc­teur du véhicule de A.________ avant de se pencher à l’intérieur du véhicule. Lors de son audition d’arrestation du 14 mai 2019, G.________ a reconnu avoir donné un coup de poing à A.________ avant que celui-ci ne puisse sortir de son véhicule (PV aud. 12 ll. 144-145), ce qu’il a confirmé aux débats d’appel. C’est donc bien le prévenu qui a donné le premier coup à sa victime alors qu’elle était en train de quitter la station-service, ce qui démontre qu’il est effectivement à l’origine de la bagarre. Les images de la vidéosurveillance montrent ensuite que A.________ sort de son véhicule, qu’il donne des coups de poing au prévenu pour se défendre, que le prévenu riposte en lui assénant immédiatement plusieurs coups de poing au visage, que le prévenu est rapidement rejoint pas le dénommé « [...]» qui immo­bilise A.________ pour permettre au prévenu de se déchaîner sur celui-ci, de le frapper encore à la tête et au thorax et de lui donner un coup de genou au niveau du ventre. Sonné, A.________ s’effondre et se recroqueville sur lui-même, alors que le prévenu continue à le frapper, lui donnant des coups de genou et de pied au visage et au thorax pendant que le dénommé «  [...]» le maintient au sol. Contrairement à ce que le prévenu a affirmé lors de son audition par la Procureure le 14 mai 2019 (PV aud. 12 ll. 142-143), les images de vidéosurveillance ne montrent pas que A.________ aurait baissé la vitre de sa portière. De plus, le prévenu tente en vain de faire croire qu’il a été agressé par A.________ et que le prénommé «  [...] » a tenté de les séparer. Tant la police que le Ministère public et les trois membres du Tribunal correctionnel ont pu constater, en visionnant les images de la caméra de surveillance du shop, avec quel déchaînement de violence G.________ s’en est pris à sa victime, la ruant de coups rapides d’une rare brutalité et n’hésitant pas à continuer à violenter sa victime alors qu’elle était immobilisée, recroquevillée sur elle-même et dans l’impossibilité de se défendre. Dans son rapport (P. 5 pp. 10 et 12), la police a notamment relevé ce qui suit : « Samedi 21 avril 2018, M. A.________ se présentait au poste de police PNV et déposait une plainte contre inconnu  (…) Il précisait qu’il avait été agressé de manière violente par deux hommes qu’il ne connaissait que de vue, sur le parking de la station-service du R.________, à [...]. Il précisait que le premier de ses agresseurs l’avait pris à partie à la caisse de cet établissement, avant de le rejoindre sur le parking, puis le battre. (…) A notre demande, des images des caméras de vidéosurveillance de cette station-service nous ont été fournies. Sur ces supports, on peut apercevoir le déroulement de ces événements, au cours desquels M. A.________ avait été victime de coups d’une rare violence. (…) Suite à une altercation verbale qui a eu lieu dans le magasin de la station-service, le prévenu, après être sorti du négoce, s’est rendu vers le véhicule du plaignant, l’a sorti par la force de l’habitacle et l’a frappé avec violence avant d’être aidé dans cette agression par un complice venu entretemps. (…) ». Le Tribunal correctionnel a confirmé les faits retenus dans l’acte d’accusation fondé sur les images de la caméra de surveillance en en vérifiant l’exactitude par un visionne­ment supplé­mentaire. Ensuite, il n’y a aucune raison de mettre en doute la partialité de la victime, dont les déclarations, sincères et crédibles, correspondent en tout point au film de la caméra de surveillance et sont corroborées par les constatations médi­cales. A.________ a retiré sa plainte après avoir reçu des excuses de la part de l’appelant et de sa famille (P. 4 et PV aud. 8) et lorsqu’il a été interrogé par la police sur les circonstances entourant le retrait de sa plainte, A.________ a précisé que les faits s’étaient déroulés comme il les avait décrits (PV aud. 8 R. 7). Ainsi, lorsque A.________ a déposé plainte (PV aud. 1), il a décrit son agression telle qu’elle est visible sur les images de la caméra de surveillance du shop, expliquant notamment que G.________ avait ouvert la portière conducteur de son véhicule alors qu’il était en train de manœuvrer pour partir, que G.________ lui avait immédiatement donné un coup de poing, que lorsqu’il était sorti de son véhicule, il s’était défendu en donnant des coups de poing, qu’une tierce personne les avait rejoint et l’avait immobilisé pendant que G.________ continuait à le frapper et que, recroquevillé au sol, il avait tenté d’éviter les coups de pied de son agresseur. A l’instar des premiers juges, on retiendra donc les déclarations de la victime, la thèse unilatérale du prévenu étant écartée tant elle n’est pas crédible. Au vu de ce qui précède, il n’y a pas lieu de s’écarter de l’état de fait retenu par les premiers juges. Mal fondés, les griefs factuels invoqués par l’appelant doivent être rejetés.</w:t>
      </w:r>
    </w:p>
    <w:p>
      <w:r>
        <w:rPr>
          <w:b/>
        </w:rPr>
        <w:t>E. 4</w:t>
      </w:r>
    </w:p>
    <w:p>
      <w:r>
        <w:t>novembre 1950 ; RS 0.101) et 14 al. 2 Pacte ONU II (Pacte international relatif aux droits civils et politiques du 16 décembre 1966;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4.1</w:t>
      </w:r>
    </w:p>
    <w:p>
      <w:r>
        <w:t>L’appelant conteste sa condamnation pour agression et tentative de lésions corporelles graves. Il fait valoir que le dénommé «  [...]» n’a donné aucun coup, que A.________ a déclenché l’attaque, que lorsqu’il est sorti de son véhicule, il avait le poing en avant, qu’il avait arrêté le moteur de son véhicule, qu’aucune blessure grave n’était à déplorer, que les lésions subies n’avaient pas laissé de séquelles, que A.________ n’avait pas été maintenu au sol par le dénommé «  [...]», que celui-ci n’était ni allongé ni inconscient lorsqu’il était sol et que la seule infraction qui pourrait être retenue est celle de lésions corporelles simples, laquelle ne se poursuit que sur plainte.</w:t>
      </w:r>
    </w:p>
    <w:p>
      <w:r>
        <w:rPr>
          <w:b/>
        </w:rPr>
        <w:t>E. 4.2.1</w:t>
      </w:r>
    </w:p>
    <w:p>
      <w:r>
        <w:t>Selon l'art. 122 CP, se rend coupable de lésions corporelles graves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de façon grave et permanente (al. 2) et celui qui, intentionnellement, aura fait subir à une personne toute autre atteinte grave à l'intégrité corporelles ou à la santé physique ou mentale (al. 3). L'art. 122 CP décrit une infraction de nature intentionnelle. Le dol éventuel suffit. L'auteur doit vouloir, au moins par dol éventuel, causer des lésions corporelles graves. Agit intentionnellement quiconque commet un crime ou un délit avec conscience et volonté (art. 12 al. 2, 1 re phr., CP). L’auteur agit déjà intention­nellement lorsqu’il tient pour possible la réalisation de l’infraction et l’accepte au cas où celle-ci se produirait (art. 12 al. 2, 2 e phr., CP). On distingue communément le dessein (ou dol direct de premier degré), le dol simple (ou dol direct de deuxième degré) et le dol éventuel (Dupuis et al., op. cit., n. 10 ad art. 12 CP et les réf. cit.). Ces trois formes correspondent à un comportement intentionnel au sens de l’art. 12 al. 2 CP.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(ATF 125 IV 242 consid. 3c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 ATF 134 IV 26 consid. 3.2.2 ; ATF 133 IV 222 consid. 5.3 ;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 ATF 133 IV 9 consid. 4.1 ; ATF 130 IV 58 consid. 8.4 ;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 TF 6B_355/2011 du 23 septembre 2011 consid. 4.2.1).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La jurisprudence a répété à plusieurs reprises que l'équivalence des deux formes de dol - direct et éventuel - vaut également par rapport à la tentative, et cela pour toutes les formes de tentative, y compris le délit manqué (ATF 122 IV 246 consid. 3a ; ATF 120 IV 17 consid. 2c ; ATF 120 IV 199 consid. 3e ; ATF 112 IV 65 consid. 3b ; SJ 2000 I 358, consid. 4).</w:t>
      </w:r>
    </w:p>
    <w:p>
      <w:r>
        <w:rPr>
          <w:b/>
        </w:rPr>
        <w:t>E. 4.2.2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 la ou les victimes restent passives ou se bornent à tenter de se défendre (Donatsch, Strafrecht III, Delikte gegen den Einzelnen, 11 e éd., 2018, n. 6.1 ad art. 134 CP ; Corboz, Les infractions en droit suisse, vol. I, 3 e éd., Berne 2010, n. 6 ad art. 134 CP).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122 ss CP ne peut être envisagé que si, ensuite d'une agression, une personne déterminée autre que celle qui a été blessée a été effectivement mise en danger (ATF 135 IV 152 consid. 2.1.2 ; ATF 118 IV 227 consid. 5b). Un concours entre l’infraction de lésion et l’agression est néanmoins possible lorsque la victime n’a subi que des lésions corporelles simples, à condition que la mise en danger de la victime ait dépassé l’intensité du résultat survenu (ATF 135 IV 152 consid. 2.1.2).</w:t>
      </w:r>
    </w:p>
    <w:p>
      <w:r>
        <w:rPr>
          <w:b/>
        </w:rPr>
        <w:t>E. 4.3</w:t>
      </w:r>
    </w:p>
    <w:p>
      <w:r>
        <w:t>En l’espèce, A.________ a été victime d’une attaque unilatérale commise par l’appelant, lequel a été rejoint par le dénommé «  [...]». L’appelant a profité de son intervention pour continuer à frapper sa victime. Les premiers coups, portés au visage de la victime, puis au thorax, ont été d’une telle violence qu’ils ont assommé la victime qui s’est affaissée et recroquevillée au sol. Alors que A.________ était maintenu au sol par le dénommé «  [...]», l’appelant a continué à le ruer de coups de poing, de genou et de pied, la victime tentant tant bien que mal de se protéger la tête avec les mains. La vitesse, la répétition des coups, leur force et les endroits du corps visés ont contribué à l’inten­sité des lésions. A la suite de son agression, A.________ a présenté un traumatisme crânio-cérébral, des contusions multiples (visage, dentaire 11-12-21-22-23, costales, poi­gnet droit, genou droit) et un hématome au cou. Il est indéniable que des coups portés violemment à la tête et au thorax, à de nombreuses reprises, avec le poing, le genou et le pied, sont de nature à mettre en danger la vie de la personne qui les reçoit et à provoquer de graves lésions, ce que l’appelant ne pouvait ignorer. G.________ s’en est manifestement à tout le moins accommodé. La violence des coups est révélée tant par les images de la caméra de surveillance que par les constats médicaux (P. 7). Même si les lésions constatées, qui ne sont pas contestées, constituent des lésions corporelles simples, les actes de violence perpétrés par l’appelant et dont a été victime A.________ ont dépassé, de par leur intensité, les lésions constatées et étaient propres à mettre gravement la vie de la victime en danger et à causer des lésions corporelles graves. Le fait que A.________ ne souffre pas de séquelles permanentes justifie unique­ment de retenir la tentative, sans toutefois exclure la qualification de lésions corporelles graves. Dans la mesure où il y a une seule victime, A.________, et où l’auteur de ses lésions est l’appelant, il n’y a pas de concours possible, mais absorption, entre la tentative de lésions corporelles graves, qui comprend la notion de mise en danger de la vie de la victime, et l’infraction d’agression, conformément à la jurisprudence citée ci-avant (cf. consi. 4.2.2). Partant, seule l’infraction de tentative de lésions corporelles graves doit être retenue et G.________ doit être libéré de l’infraction d’agression. Le jugement entrepris doit être réformé dans ce sens.</w:t>
      </w:r>
    </w:p>
    <w:p>
      <w:r>
        <w:rPr>
          <w:b/>
        </w:rPr>
        <w:t>E. 5.1</w:t>
      </w:r>
    </w:p>
    <w:p>
      <w:r>
        <w:t>L’appelant conclut à la réduction de la peine privative de liberté à un an et à la réduction du montant du jour-amende à 10 francs le jour. Il soutient que la peine privative de liberté infligée par les premiers juges est beaucoup trop lourde pour sanctionner l’infraction à la LEI, que le pronostic futur le concernant n’est pas défavorable et qu’il peut être mis au bénéfice du sursis.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141 IV 61 consid. 6.1.1 et les réf. cit. ; TF 6B_654/2018 du 5 septembre 2018 consid. 3.1). Le juge peut atténuer la peine si l’exécution d’un crime ou d’un délit n’est pas poursuivie jusqu’à son terme ou que le résultat nécessaire à la consommation de l’infraction ne se produit pas ou ne pouvait pas se produire (art. 22 al. 1 CP).</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5.2.3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 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L’application de l’ancien ou du nouveau droit ne conduit pas à un résultat différent dans le cas d’espèce, dès lors que le prévenu, comme expliqué ci-après, est condamné à une peine privative de liberté inférieure à deux ans, laquelle est susceptible d’être assortie du sursis.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Le juge dispose d'un large pouvoir d'appréciation en la matière (ATF 145 IV 137 consid. 2.2 ; ATF 135 IV 180 consid. 2.1 ; ATF 134 IV 1 consid. 5.2 ; TF 6B_392/2016 du 10 novembre 2016).</w:t>
      </w:r>
    </w:p>
    <w:p>
      <w:r>
        <w:rPr>
          <w:b/>
        </w:rPr>
        <w:t>E. 5.3</w:t>
      </w:r>
    </w:p>
    <w:p>
      <w:r>
        <w:t>Les premiers juges ont condamné G.________ à une peine privative de liberté de 2 ans et à une peine pécuniaire de 20 jours-amende à 30 fr. le jour, sans sursis. L’appelant étant libéré de l’infraction d’agression, la Cour de céans doit à nouveau librement fixer la peine. Le prévenu est reconnu coupable de tentative de lésions corporelles graves, d’activité lucrative sans autorisation et d’empêchement d’accomplir un acte officiel. Les faits reprochés à l’appelant sont graves, d’autant que l’origine de l’agres­sion n’a aucun lien avec le comportement de la victime, mais avec un diffé­rend qui avait opposé le prévenu au cousin de A.________. Le prévenu n’a ainsi pas hési­té à mettre la vie de sa victime en danger en se déchaînant sur elle avec une violen­ce inouïe. Cette odieuse agression aurait pu avoir des conséquences extrêmement graves pour la victime. A charge, il sera tenu compte du concours d’infractions et du fait que le prévenu a déjà été condamné en Suisse à quatre reprises à des peines pécuniaires, notamment pour des infractions à la LEI, ce qui ne l’a pas dissuadé de récidiver. Le prévenu n’a pas collaboré à l’enquête, niant connaître le nom du dénommé «  [...]», lequel était pourtant vêtu, lors des faits litigieux, de la veste de l’entreprise du prévenu. Il sera également tenu compte du fait que le prévenu n’a eu de cesse de minimiser son implication dans cette agression et de se positionner comme une victime de A.________. En outre, aucun élément ne peut être retenu à décharge. La tentative de lésions corporelles graves doit être sanctionnée par une peine privative de liberté allant de six mois à dix ans (cf. art. 122 CP). L’infraction de l’art. 115 al. 1 let. c LEI est passible d’une peine privative de liberté d’un an au plus ou d’une peine pécuniaire. Pour des motifs de prévention spéciale, une peine privative de liberté s’impose pour cette infraction. L’introspection du prévenu est inexistante et les peines pécuniaires prononcées par le passé pour cette même infraction sont restées sans effet sur son comportement délictueux, le prévenu n’ayant pas hésité à monter son entreprise en Suisse alors qu’il était en situation illégale, allant jusqu’à imprimer des vestes avec le logo de son entreprise et des cartes de visite, et à faire de la publicité sur les réseaux sociaux. Compte tenu du concours d’infractions et de la culpabilité du prévenu, il convient de réduire la peine privative de liberté d’ensemble prononcée par les premiers juges à 18 mois, laquelle s’avère adéquate pour sanctionner les infractions des cas 1 et 2 commises par le prévenu. L’infraction la plus grave est la tentative de lésions corporelles graves qui doit valoir à elle seule à son auteur une peine privative de liberté de 12 mois. L’infraction à la LEI justifie, par l’effet de l’aggravation de la peine, le prononcé d’une peine privative de liberté de 6 mois, ce qui porte le total à 18 mois. Le jugement entrepris doit en conséquence être réformé sur ce point. Seule une peine pécuniaire peut être envisagée pour sanctionner l’infraction d’empêchement d’accomplir un acte officiel. Il n’y a pas lieu de faire application de l’art. 49 al. 2 CP puisque les faits reprochés sont postérieurs à sa dernière condamnation à une peine pécuniaire qui date du 24 septembre 2019. La peine pécuniaire de 20 jours-amende prononcée par les premiers juges est adéquate pour sanctionner les agissements du prévenu. S’agissant de la valeur du jour-amende, le montant de 30 fr. retenu par les premiers juges, qui correspond au minimum usuel prévu par la loi, est conforme à la situation financière de l’appelant. Il n’y a dès lors pas lieu de réduire le montant du jour-amende, la situation du prévenu n’étant pas exceptionnelle (cf. art. 34 la. 2 CP). Enfin, l’appelant ne remplit manifestement pas les conditions d’octroi du sursis. Les considérations évoquées ci-dessus, et en particulier ses nombreux antécédents judiciaires, l’absence totale de prise de conscience, et le fait que le prévenu persiste à enfreindre l’ordre juridique suisse, rendent le pronostic clairement défavorable et excluent l’octroi du sursis pour les deux peines prononcées.</w:t>
      </w:r>
    </w:p>
    <w:p>
      <w:r>
        <w:rPr>
          <w:b/>
        </w:rPr>
        <w:t>E. 6</w:t>
      </w:r>
    </w:p>
    <w:p>
      <w:r>
        <w:t>L'appelant, qui conclut à libération des chefs de prévention d’agression et de tentative de lésions corporelles graves, ne conteste pas son expulsion du territoire suisse prononcée pour une durée de 10 ans en application de l'art. 66a al. 1 let. b CP. Le prévenu ayant toutes ses attaches au Kosovo et séjournant illégalement en Suisse, il n’y a aucune raison d’y renoncer, étant souligné que le Tribunal fédéral a statué que l’expulsion selon l’art. 66a CP se justifiait également en cas d’infraction seulement tentée (TF 6B_1379/2017 du 25 avril 2018).</w:t>
      </w:r>
    </w:p>
    <w:p>
      <w:r>
        <w:rPr>
          <w:b/>
        </w:rPr>
        <w:t>E. 7</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G.________ pour des motifs de sûretés sera ordonné en raison du risque de fuite élevé qu’il présente (art. 221 al. 1 let. a CPP), celui-ci étant du Kosovo et ne disposant pas de statut légal en Suisse.</w:t>
      </w:r>
    </w:p>
    <w:p>
      <w:r>
        <w:rPr>
          <w:b/>
        </w:rPr>
        <w:t>E. 8</w:t>
      </w:r>
    </w:p>
    <w:p>
      <w:r>
        <w:t>Les faits retenus par les premiers juges à la charge du prévenu sont confirmés en appel et seule la qualification juridique des infractions est modifiée, de sorte que le prévenu doit supporter l’intégralité des frais de la procédure de première instance (art. 426 al. 1 CPP). Le jugement entrepris doit ainsi être confirmé sur ce point.</w:t>
      </w:r>
    </w:p>
    <w:p>
      <w:r>
        <w:rPr>
          <w:b/>
        </w:rPr>
        <w:t>E. 9</w:t>
      </w:r>
    </w:p>
    <w:p>
      <w:r>
        <w:t>En définitive, l’appel de G.________ doit être partiellement admis et le jugement attaqué réformé dans le sens des considérants. Le chiffre III du dispositif du jugement du 18 mai 2020 du Tribunal correctionnel réformé par la Cour d’appel et communiqué aux parties le 29 septem­bre 2020 comporte une erreur de plume s’agissant de la retranscription en lettres de la durée de la peine privative de liberté – 18 mois – et doit être rectifié d’office en application de l’art. 83 CPP. Selon la liste d’opérations produite par le défenseur d’office de G.________ (P. 50), dont il n’y a pas lieu de s’écarter, une indemnité d’un montant de 2'617 fr. 15, débours, TVA et vacation compris, doit être allouée à Me Jeton Kryeziu pour la procédure d’appel. Vu l’issue de la cause, les frais de la procédure d’appel, par 5'437 fr. 15, constitués de l’émolument de jugement, par 2'820 fr. (art. 21 al. 1 et 2 TFIP), et de l’indemnité allouée au défenseur d’office de G.________, par 2'617 fr. 15, seront mis par moitié, soit 2'718 fr. 60 à la charge de G.________ qui obtient partiellement gain de cause (art. 428 al. 1 CPP), le solde étant laissé à la charge de l’Etat. G.________ ne sera tenu de rembourser à l’Etat la moitié du montant de l’indemnité allouée à son défenseur d’office mise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