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278 vom 16. Dezember 2019</w:t>
      </w:r>
    </w:p>
    <w:p>
      <w:r>
        <w:t>VD Tribunal cantonal, 2019-12-16, FR</w:t>
      </w:r>
    </w:p>
    <w:p>
      <w:r>
        <w:rPr>
          <w:b/>
        </w:rPr>
        <w:t xml:space="preserve">Quelle: </w:t>
      </w:r>
      <w:r>
        <w:t>https://mcp.opencaselaw.ch/entscheid/vd_findinfo_Jug___2020___278</w:t>
      </w:r>
    </w:p>
    <w:p>
      <w:r>
        <w:t>FR: VD_FINDINFO Jug / 2020 / 278 du 16 décembre 2019</w:t>
      </w:r>
    </w:p>
    <w:p>
      <w:r>
        <w:t>IT: VD_FINDINFO Jug / 2020 / 278 del 16 dicembre 2019</w:t>
      </w:r>
    </w:p>
    <w:p>
      <w:pPr>
        <w:pStyle w:val="Heading2"/>
      </w:pPr>
      <w:r>
        <w:t>Regeste</w:t>
      </w:r>
    </w:p>
    <w:p>
      <w:r>
        <w:t>VOL{DROIT PÉNAL}, COAUTEUR{DROIT PÉNAL}, CONSTATATION DES FAITS, PRINCIPE DE L'ACCUSATION, IN DUBIO PRO REO, FIXATION DE LA PEINE, CONCOURS D'INFRACTIONS, EXPULSION{DROIT PÉNAL} | 139 CP, 47 CP, 49 al. 1 CP, 66a al. 1 let. d CP, 10 CPP (CH), 9 CPP (CH)</w:t>
      </w:r>
    </w:p>
    <w:p>
      <w:pPr>
        <w:pStyle w:val="Heading2"/>
      </w:pPr>
      <w:r>
        <w:t>Erwägungen</w:t>
      </w:r>
    </w:p>
    <w:p>
      <w:r>
        <w:rPr>
          <w:b/>
        </w:rPr>
        <w:t>E. 1.1</w:t>
      </w:r>
    </w:p>
    <w:p>
      <w:r>
        <w:t>Interjeté dans les formes et délais légaux (art. 385 al. 1 et 399 CPP) par une partie ayant la qualité pour recourir contre le jugement d'un tribunal de première instance qui a clos la procédure (art. 398 al. 1 CPP), l'appel de T.________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let. a 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w:t>
      </w:r>
    </w:p>
    <w:p>
      <w:r>
        <w:rPr>
          <w:b/>
        </w:rPr>
        <w:t>E. 3.1</w:t>
      </w:r>
    </w:p>
    <w:p>
      <w:r>
        <w:t>L’appelant critique le rapport d'investigation que la Police cantonale a établi le 9 novembre 2018 en s’insurgeant contre le fait qu’il exprime des soupçons à son encontre notamment en raison de son appartenance à une prétendue ethnie lituanienne. A titre de mesures d’instruction, il requiert production par la police d’éléments établissant la commission de davantage de cambriolages par des membres d’une telle ethnie que par la moyenne de la population, d’éléments démontrant l’existence et les critères de distinction de cette prétendue ethnie et d’éléments le rattachant à celle-ci. Subsidiairement, il a conclu au retranchement du rapport concerné.</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6B_312/2020 du 11 mai 2020 consid. 1.1 et les réf. cit.).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144 II 427 consid. 3.1.3 ; ATF 141 I 60 consid. 3.3 ; TF 6B_312/2020 précité consid. 1.1).</w:t>
      </w:r>
    </w:p>
    <w:p>
      <w:r>
        <w:rPr>
          <w:b/>
        </w:rPr>
        <w:t>E. 3.3</w:t>
      </w:r>
    </w:p>
    <w:p>
      <w:r>
        <w:t>En l’espèce, le rapport d'investigation que la Police cantonale a établi le 9 novembre 2018 (P. 4), soit au début de l'enquête, comporte à la rubrique « 2.3 Profil des suspects » le passage suivant : « Les éléments et indices, recueillis à ce stade des investigations, nous ont clairement laissé penser que les occupants de la VW Polo étaient d'origine lituanienne. Or, de précédentes enquêtes menées à l'endroit de cette ethnie, il a été démontré, plus d'une fois, que ce type d'individus venaient en Suisse pour y commettre des cambriolages, durant une période plus ou moins brève, puis repartaient dans leur pays, avec le ou les butins dérobés. A ce jour, le type de délit qui leur étaient reprochés sont essentiellement des cambriolages, de type Giorno Cilindro. Il s'agit de vols par effraction, commis dans des habitations, en journée, par arrachage du cylindre de la porte d'entrée. Quant aux heures de la commission des délits, celles-ci peuvent varier. Pour ce qui est des deux suspects qui nous occupent, deux indices supplémentaires nous ont confortés quant au fait que nous devions affaire (sic) à des cambrioleurs. Il s'agit de : · Location d'une voiture à plaques vaudoises = plus discret qu'un véhicule à plaques étrangères, permettant ainsi de circuler plus librement sur nos routes sans attirer l'attention des services de police. · Location d'un pied-à-terre dans une localité située dans une région isolée de notre canton, telle que […] = plus de discrétion = base arrière lors d'un périple délictueux ». Ce passage du rapport de police ne fait qu'exposer des soupçons alimentés notamment par l'expérience de la police en matière d'identification de modes opératoires adoptés par des cambrioleurs venant de régions ou de pays déterminés, notamment la Lituanie. Il n'y a donc pas lieu de se perdre dans l'administration de preuves confuses et exorbitantes pour vérifier vainement si les critères de suspicion de la police étaient fondés ou non. Seuls sont déterminants, la preuve ou le faisceau de preuves permettant de se convaincre de la culpabilité ou de l'innocence du prévenu. Or ces preuves sont en l’occurrence constituées par d'autres éléments que la nationalité lituanienne du prévenu et de son acolyte (cf. consid. 5.3 infra). Les requêtes d'instruction de l’appelant doivent ainsi être rejetées, de même que celle tendant au retranchement du rapport du dossier.</w:t>
      </w:r>
    </w:p>
    <w:p>
      <w:r>
        <w:rPr>
          <w:b/>
        </w:rPr>
        <w:t>E. 4.1</w:t>
      </w:r>
    </w:p>
    <w:p>
      <w:r>
        <w:t>L'appelant se prévaut d'une violation du principe d'accusation. Il soutient en substance que l’acte d’accusation serait incohérent et qu’il ne décrirait pas le comportement qui lui est exactement reproché, en particulier en quoi aurait consisté son activité à « faire le guet ».</w:t>
      </w:r>
    </w:p>
    <w:p>
      <w:r>
        <w:rPr>
          <w:b/>
        </w:rPr>
        <w:t>E. 4.2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6B_696/2019 du 24 septembre 2019 consid. 1.2.1 ; TF 6B_665/2017 du 10 janvier 2018 consid. 1.1). L'acte d'accusation définit l'objet du procès et sert également à informer le prévenu (fonction de délimitation et d'information ; ATF 143 IV 63 précité consid. 2.2 ; ATF 141 IV 132 consid. 3.4.1 et les références citées). Des imprécisions relatives au lieu ou à la date sont sans portée, dans la mesure où le prévenu ne peut avoir de doute sur le comportement qui lui est reproché (TF 6B_696/2019 précité consid. 1.2.1 ; TF 6B_665/2017 précité consid. 1.1 ; TF 6B_275/2016 du 9 décembre 2016 consid. 2.1).</w:t>
      </w:r>
    </w:p>
    <w:p>
      <w:r>
        <w:rPr>
          <w:b/>
        </w:rPr>
        <w:t>E. 4.3</w:t>
      </w:r>
    </w:p>
    <w:p>
      <w:r>
        <w:t>En préambule, l'acte d'accusation indique que l’appelant a loué un appartement à [...] (recte : aux [...], cf. P. 33 p. 5), qu’il y a été rejoint par O.________, qui avait pour sa part loué une voiture, et qu’ils avaient été observés ensemble dissimulés dans des buissons dans un quartier de villas à la tombée de la nuit le 7 novembre 2018. Il retient ensuite ce qui suit : « 1. Le 8 novembre 2018, entre 13h00 et 14h20, à [...],T.________ a fait le guet pendant que O.________ arrachait le cylindre de la porte d’entrée de l’appartement de W.________. Après une fouille complète de l’appartement, il a été emporté 2'000 fr., environ 300 euros, deux figurines en or jaune, diverses pièces en or, trois colliers en or jaune et un bracelet en argent Pandora (…) 2. Le 8 novembre 2018 en soirée, à [...],T.________ a fait le guet pendant que O.________ arrachait le cylindre de la porte d’entrée de la maison d’R.________ et de G.________, s’y est introduit et a fouillé les lieux avant d’emporter divers bijoux, parfums et accessoires de luxe avec l’aide de T.________ (…) ». On comprend de l'acte précité qu’il est reproché à l'appelant d’avoir participé à la commission de deux cambriolages, en surveillant notamment les alentours pendant que son comparse forçait les portes d’entrée. On ne voit pas ce qui aurait pu être davantage explicité. Cet acte permet à T.________ de comprendre sans équivoque qu’une coaction lui est reprochée. Le prévenu a au demeurant expressément contesté être un coauteur dans son appel (cf. chiffres 24, 33, 35 et 42 de son mémoire d’appel complémentaire). Mal fondé, le moyen doit être rejeté.</w:t>
      </w:r>
    </w:p>
    <w:p>
      <w:r>
        <w:rPr>
          <w:b/>
        </w:rPr>
        <w:t>E. 5.1</w:t>
      </w:r>
    </w:p>
    <w:p>
      <w:r>
        <w:t>L'appelant conteste sa condamnation en invoquant une constatation arbitraire des faits, une violation des art. 139, 144 et 186 CP (Code pénal suisse du 21 décembre 1937 ; RS 311.0) ainsi qu’une violation du principe de la présomption d’innocence. Soutenant qu’il aurait été mis hors de cause par O.________ et qu’il serait avéré que celui-ci aurait agi seul dans d’autres cas, T.________ affirme qu’il n’aurait fait qu’attendre son ami et porter des objets dans la voiture sans savoir qu’ils provenaient d’un vol. Le dossier ne contiendrait par ailleurs aucune preuve à son encontre, en particulier d’indice tendant à démontrer qu’il aurait fait le guet. Enfin, pour autant qu’il soit avéré, le fait qu’il soit prétendument issu d’une « ethnie d’origine lituanienne » connue pour commettre des cambriolages ne constituerait nullement un élément probant.</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w:t>
      </w:r>
    </w:p>
    <w:p>
      <w:r>
        <w:rPr>
          <w:b/>
        </w:rPr>
        <w:t>E. 5.2.2</w:t>
      </w:r>
    </w:p>
    <w:p>
      <w:r>
        <w:t>Selon l’art. 139 CP, celui qui, pour se procurer ou procurer à un tiers un enrichissement illégitime, aura soustrait une chose mobilière appartenant à autrui dans le but de se l’approprier sera puni d’une peine privative de liberté de cinq ans au plus ou d’une peine pécuniaire. Selon l’art. 144 CP, celui qui aura endommagé, détruit ou mis hors d’usage une chose appartenant à autrui ou frappée d’un droit d’usage ou d’usufruit au bénéfice d’autrui sera, sur plainte, puni d’une peine privative de liberté de trois ans au plus ou d’une peine pécuniaire. 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ATF 130 IV 58 consid. 9.2.1 ; TF 6B_92/2020 du 7 avril 2020 consid. 1.1.2).</w:t>
      </w:r>
    </w:p>
    <w:p>
      <w:r>
        <w:rPr>
          <w:b/>
        </w:rPr>
        <w:t>E. 5.3</w:t>
      </w:r>
    </w:p>
    <w:p>
      <w:r>
        <w:t>En l’espèce, il résulte de la surveillance et des observations de la police que l’appelant et O.________ ont été vus le mercredi 7 novembre 2018, en début de soirée, occupant une voiture VW Polo immatriculée dans le canton de Vaud et louée par O.________ pour la période du 5 novembre au 4 décembre 2018, alors qu’ils effectuaient des repérages dans un quartier de villas à [...] en vue d'y commettre des cambriolages, tous deux ayant été notamment vus se dissimuler dans des buissons. Les investigations de la police ont également permis la découverte du logement des deux comparses aux [...], à savoir un appartement qui avait été loué par l’appelant pour la période du 5 novembre au 3 décembre 2018. Cinq autres locations des mêmes locaux d'un mois ou de quelques jours avaient par ailleurs été effectuées par T.________ entre 2016 et 2018. Le jeudi 8 novembre 2018, les deux hommes ont été suivis et surveillés par la police alors qu'ils se déplaçaient en voiture à […] dans le quartier où se trouvait l’appartement de la plaignante W.________, victime d’un cambriolage le même jour. Plus tard dans l’après-midi, la voiture occupée par les deux hommes a été repérée dans un quartier d’habitations à [...] et notamment à proximité du domicile d’R.________ et de G.________, qui a également été cambriolé. T.________ et O.________ ont été interpellés ensemble peu après. Dans leur voiture, des objets provenant des deux vols précités ainsi qu’une importante panoplie d’outils permettant de commettre des cambriolages ont été découverts. O.________ a admis avoir commis ces deux cambriolages. S’agissant du second, il a indiqué que T.________ l’avait aidé à porter des sacs lorsqu’il était ressorti de la maison et à les charger dans la voiture. Enfin, les déclarations de T.________ pour tenter de se disculper ne sont pas crédibles. Il a d’abord nié être déjà venu en Suisse avant d’être contraint d’admettre le contraire une fois confronté aux résultats des investigations policières. Malgré les preuves, il a également nié avoir loué un appartement aux [...], en soutenant qu’il ne savait pas qu’il l’avait fait et qu’il s’était contenté d’envoyer de l’argent (1'450 fr.) à un ami de O.________ à la demande de ce dernier sans savoir pour quelle raison. Il a également donné des explications contradictoires quant à sa présence en Suisse, indiquant d’abord qu’il était venu pour trouver un emploi sur un chantier puis finalement qu’il avait été invité par O.________ pour des vacances. Au vu de l’ensemble des éléments qui précède, la participation de l’appelant aux cambriolages en question ne fait pas l’ombre d’un doute. Quant à son rôle de guetteur, il résulte des déclarations de O.________ lui-même : « je lui ai dit : "on y va". Nous nous sommes rendus jusqu’à la maison. J’ai sonné à la porte. T.________ s’était précédemment arrêté dans un coin de la maison. N’ayant aucune réponse, j’ai dit à T.________ de rester où il se trouvait. Pendant ce temps je suis entré dans la maison en cassant la porte » (PV aud. 7, D 8 p. 6). La commission de ces cambriolages en Suisse nécessitait de trouver un moyen de déplacement et un logement servant de base arrière, d’effectuer des repérages, de se procurer un outillage particulier et enfin d’assurer la sécurité des coéquipiers en prévoyant une surveillance du site du cambriolage afin d’accélérer leur fuite en cas d’alarme. L’appelant s’est chargé de trouver un lieu de séjour en louant un appartement aux [...] et O.________ de louer un véhicule aux plaques d’immatriculation vaudoises, plus discrètes que des plaques étrangères. Il s’agit manifestement d’une entreprise commune comportant des aspects minutieusement organisés depuis l’étranger. Au vu de l'intensité de son implication, cette association fait du prévenu un coauteur et non un simple complice. Partant, la condamnation de l’appelant pour vol, dommages à la propriété et violation de domicile, qualification juridiques qui n’ont pas été remises en question, doit être confirmée.</w:t>
      </w:r>
    </w:p>
    <w:p>
      <w:r>
        <w:rPr>
          <w:b/>
        </w:rPr>
        <w:t>E. 6</w:t>
      </w:r>
    </w:p>
    <w:p>
      <w:r>
        <w:t>L'appelant ne conteste la peine prononcée à son encontre qu'en lien avec les moyens tendant à obtenir son acquittement. Celle-ci doit être examinée d’office.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w:t>
      </w:r>
    </w:p>
    <w:p>
      <w:r>
        <w:rPr>
          <w:b/>
        </w:rPr>
        <w:t>E. 6.2</w:t>
      </w:r>
    </w:p>
    <w:p>
      <w:r>
        <w:t>En l’espèce, la culpabilité de l’appelant est importante s'agissant de délinquance patrimoniale professionnelle et internationale obéissant à un mobile crapuleux. A l’instar du premier juge, on ne distingue aucun élément à décharge, si ce n’est la situation financière précaire du prévenu. La peine privative de liberté comme genre de peine s'impose pour chacune des infractions qui lui sont reprochées, le professionnalisme manifesté et l'attitude de déni total exprimée fondant une indispensable prévention spéciale. Le premier vol doit être puni d’une peine privative de liberté de 3 mois. Le second commande une augmentation de 3 mois, les deux violations de domicile, une majoration de 15 jours chacune, et les dommages à la propriété de même, de sorte que l’appelant aurait dû être condamné à une peine privative de liberté de 8 mois. L'interdiction de la reformatio in pejus conduit toutefois la Cour à s'en tenir à la peine infligée par le Tribunal de police, soit à une peine privative de liberté de 5 mois. S'agissant du sursis, il n'aurait pas dû être accordé, la prise de conscience de l’appelant étant nulle et le pronostic défavorable. Là également, le jugement de première instance profite toutefois à l'appelant.</w:t>
      </w:r>
    </w:p>
    <w:p>
      <w:r>
        <w:rPr>
          <w:b/>
        </w:rPr>
        <w:t>E. 7</w:t>
      </w:r>
    </w:p>
    <w:p>
      <w:r>
        <w:t>L’appelant conteste l’expulsion prononcée à son encontre.</w:t>
      </w:r>
    </w:p>
    <w:p>
      <w:r>
        <w:rPr>
          <w:b/>
        </w:rPr>
        <w:t>E. 7.1</w:t>
      </w:r>
    </w:p>
    <w:p>
      <w:r>
        <w:t>Aux termes de l'art. 66a al. 1 let. d CP, le juge expulse de Suisse l'étranger qui est condamné pour vol en lien avec une violation de domicile,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L’art. 66a CP prévoit ainsi l’expulsion obligatoire de l’étranger condamné pour l’une des infractions ou combinaisons d’infractions listées à son premier alinéa,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(CAPE 21 novembre 2019/356 consid. 6.1 ; TF 6B_242/2019 du 18 mars 2019 ;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7.3</w:t>
      </w:r>
    </w:p>
    <w:p>
      <w:r>
        <w:t>En l’espèce, l’appelant ne soulève aucun autre moyen que celui tendant à son acquittement. Force est par ailleurs de constater qu’il n’a aucun lien avec la Suisse et qu’il a vraisemblablement déjà quitté ce pays de son propre chef. S’agissant d’un cas d’expulsion obligatoire, la mesure prononcée par le premier juge s’avère ainsi parfaitement justifiée et doit être confirmée.</w:t>
      </w:r>
    </w:p>
    <w:p>
      <w:r>
        <w:rPr>
          <w:b/>
        </w:rPr>
        <w:t>E. 8</w:t>
      </w:r>
    </w:p>
    <w:p>
      <w:r>
        <w:t>L’appelant conclut à l’octroi d'une indemnité d’un montant de 24'000 fr. en raison de la détention provisoire qu’il a subie du 9 novembre 2018 au 7 mars 2019 ainsi que d’une indemnité de 1'200 fr. en raison de l’illicéité de ses conditions de détention du 8 novembre au 21 novembre 2018. Dans la mesure où sa condamnation a été confirmée, il n'y a pas de place pour une quelconque indemnité au sens de l’art. 429 CPP.</w:t>
      </w:r>
    </w:p>
    <w:p>
      <w:r>
        <w:rPr>
          <w:b/>
        </w:rPr>
        <w:t>E. 9</w:t>
      </w:r>
    </w:p>
    <w:p>
      <w:r>
        <w:t>L’appelant requiert enfin que les frais de la cause soient entièrement laissés à la charge de l'Etat. Cette conclusion ne repose que sur la prémisse de l’admission de l’appel. Elle doit par conséquent être rejetée.</w:t>
      </w:r>
    </w:p>
    <w:p>
      <w:r>
        <w:rPr>
          <w:b/>
        </w:rPr>
        <w:t>E. 10</w:t>
      </w:r>
    </w:p>
    <w:p>
      <w:r>
        <w:t>. En définitive, l’appel de T.________ doit être rejeté et le dispositif du jugement entrepris intégralement confirmé. Il n’y a pas lieu de s’écarter de la liste des opérations produite par Me Stephen Gintzburger, défenseur d’office du prévenu, qui fait état de 6.375 heures d’activité. Les débours seront pour leur part indemnisés sur une base forfaitaire, à concurrence de 2 % du montant des honoraires (art. 3bis RAJ [Règlement sur l’assistance judiciaire en matière civile du 7 décembre 2010 ; BLV 211.02.3], par renvoi de l’art. 26b TFIP [Tarif des frais de procédure et indemnités en matière pénale du 28 septembre 2010 ; BLV 312.03.1]), TVA en sus. L’indemnité de défenseur d’office de Me Stephen Gintzburger pour la procédure d’appel est par conséquent fixée à 1’260 fr. 55 (1’147 fr. 50 [honoraires] + 22 fr. 95 [débours] + 90 fr. 10 [TVA]). Vu l'issue de la cause, les frais de la procédure d'appel, par 3'240 fr. 55, constitués en l’espèce de l'émolument de jugement, par 1’980 fr. (art. 21 al. 1 et 2 TFIP), ainsi que de l’indemnité allouée au défenseur d’office, par 1’260 fr. 55, seront mis à la charge de T.________, qui succombe (art. 428 al. 1 CPP). T.________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