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270 vom 13. Februar 2020</w:t>
      </w:r>
    </w:p>
    <w:p>
      <w:r>
        <w:t>VD Tribunal cantonal, 2020-02-13, FR</w:t>
      </w:r>
    </w:p>
    <w:p>
      <w:r>
        <w:rPr>
          <w:b/>
        </w:rPr>
        <w:t xml:space="preserve">Quelle: </w:t>
      </w:r>
      <w:r>
        <w:t>https://mcp.opencaselaw.ch/entscheid/vd_findinfo_Jug___2020___270</w:t>
      </w:r>
    </w:p>
    <w:p>
      <w:r>
        <w:t>FR: VD_FINDINFO Jug / 2020 / 270 du 13 février 2020</w:t>
      </w:r>
    </w:p>
    <w:p>
      <w:r>
        <w:t>IT: VD_FINDINFO Jug / 2020 / 270 del 13 febbraio 2020</w:t>
      </w:r>
    </w:p>
    <w:p>
      <w:pPr>
        <w:pStyle w:val="Heading2"/>
      </w:pPr>
      <w:r>
        <w:t>Regeste</w:t>
      </w:r>
    </w:p>
    <w:p>
      <w:r>
        <w:t>CONSTATATION DES FAITS, FIXATION DE LA PEINE, LOI FÉDÉRALE SUR LES STUPÉFIANTS ET LES SUBSTANCES PSYCHOTROPES, EXPULSION{DROIT PÉNAL}, DÉTENTION ILLICITE, SÉQUESTRE{MESURE PROVISIONNELLE} | 47 CP, 66a CP, 69 CP, 70 CP, 10 CPP (CH), 431 al. 1 CPP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R.________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A titre de mesures d’instruction, l’appelant a requis une analyse graphologique et comparaison des comptabilités figurant aux pages 30, 60 et 64 du rapport d’investigation de la police du 17 avril 2019, lesquelles seraient toutes imputées à H.________, alors qu’elles présenteraient des différences notables. En outre le simple fait que des photographies de ces comptabilités aient été retrouvées dans le téléphone de H.________ ne saurait suffire à lui en attribuer la rédaction et encore moins à imputer à l’appelant le transport des quantités de drogue qu’elles révèlent. L’appelant requiert en outre une analyse graphologique du calepin lui appartenant et contenant les numéros téléphoniques suisses qui seraient liés à des trafiquants, dès lors qu’il conteste connaître les détenteurs de ces numéros de téléphone suisse et avoir inscrit lesdits numéros dans son calepin. Enfin, il requiert l’audition en qualité de témoins d’E.________, de N.________, de S.________ et de H.________.</w:t>
      </w:r>
    </w:p>
    <w:p>
      <w:r>
        <w:rPr>
          <w:b/>
        </w:rPr>
        <w:t>E. 3.2</w:t>
      </w:r>
    </w:p>
    <w:p>
      <w:r>
        <w:t>; ATF 120 IV 334 consid. 2a), à partir de laquelle le cas doit être considéré comme grave au sens de l'art. 19 al. 2 let. a LStup (ATF 121 IV 193 consid. 2b/aa ; TF 6B_780/2018 du</w:t>
      </w:r>
    </w:p>
    <w:p>
      <w:r>
        <w:rPr>
          <w:b/>
        </w:rPr>
        <w:t>E. 3.3</w:t>
      </w:r>
    </w:p>
    <w:p>
      <w:r>
        <w:t>En l’espèce, les mesures d’instruction sollicitées par l'appelant ne sont pas nécessaires au traitement de l'appel. En effet, les comptabilités figurant aux pages 30, 60 et 64 du rapport d’investigation de la police du 17 avril 2019 ont été retrouvées en photographie dans le téléphone mobile de H.________. Contrairement à ce que soutient l’appelant, ce fait est suffisant pour imputer leur établissement par le prénommé, de sorte qu’une analyse graphologique n’apparaît pas nécessaire. Il en va de même de l’analyse graphologique du calepin appartenant à l’appelant et contenant les numéros téléphoniques suisses qui seraient liés à des trafiquants, dès lors que ce calepin a été retrouvé à son domicile en Allemagne et que l’appelant ne conteste pas qu’il s’agit du sien. Enfin, les auditions de témoins sollicitées sont inutiles en raison des nombreux autres éléments probatoires démontrant sa culpabilité sur lesquels on reviendra ultérieurement. Les réquisitions de preuve doivent en conséquence être rejetées.</w:t>
      </w:r>
    </w:p>
    <w:p>
      <w:r>
        <w:rPr>
          <w:b/>
        </w:rPr>
        <w:t>E. 4.1</w:t>
      </w:r>
    </w:p>
    <w:p>
      <w:r>
        <w:t>L’appelant conteste toute participation à un trafic de stupéfiants. En substance, il fait valoir qu’il ne savait pas ce que contenaient les paquets qu’il a amenés en Suisse à trois reprises seulement, qu’il n’a jamais fait partie d’une organisation de trafiquants de drogue, qu’il a commis une faute en faisant confiance au dénommé M.________ et qu’il n’y a aucune preuve du montant du bénéfice qu’il aurait réalisé, hormis les frais de déplacement admis. Subsidiairement, il soutient que la quantité de drogue retenue ne serait qu’une supposition, dès lors qu’il n’y a aucun élément concret au dossier permettant de la quantifier, et qu’un grand nombre de transports qui lui sont imputés ne serait pas prouvés. On ne saurait donc retenir le cas grave, d’autant plus qu’il n’avait ni l’intention ni la volonté de participer à un trafic important de cocaïne.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w:t>
      </w:r>
    </w:p>
    <w:p>
      <w:r>
        <w:rPr>
          <w:b/>
        </w:rPr>
        <w:t>E. 4.3</w:t>
      </w:r>
    </w:p>
    <w:p>
      <w:r>
        <w:t>La version du prévenu justifiant ses nombreux déplacements depuis l’étranger pour faire un commerce de voiture d’occasion en Suisse ne résiste aucunement à l’examen du dossier. D’abord, parce qu’il arrivait très tôt au point de dépôt de la marchandise, soit en principe entre 5h et 6h, et qu’il n’y restait que très peu de temps (cf. P. 47). Ensuite, parce qu’avant son arrestation, le prévenu a fait l’objet d’une observation policière qui établit la livraison, le lundi 22 octobre 2018 à 5h15 du matin, en mains de H.________, de 247 fingers de cocaïne totalisant 2'830 g brut répartis en 19 lots (P. 47, pp. 8 à 10). Entendu le même jour, le prévenu a admis avoir livré un paquet au précité, paquet qui lui aurait été remis à Amsterdam. Il a également reconnu lors de cette première audition qu’il avait déjà livré deux autres paquets précédemment. Il a indiqué en outre avoir reçu 500 euros pour le transport du 22 octobre 2018. Toutefois 4'038 euros ont été saisis dans le véhicule du prévenu au moment de son arrestation. Par ailleurs, par le biais d’un tiers, R.________ a fait savoir à H.________ qu’il ne devait pas sortir avec le sac qu’il lui avait remis lors de la livraison du 15 octobre 2018, dès lors qu’une patrouille de police les avaient vus (cf. P. 47, pp. 28 à 29). Au regard de l’inquiétude que suscitait la remise de ce sac à H.________, il ne fait aucun doute que l’appelant savait ce qu’il contenait. La version du prévenu qui prétend ne pas savoir ce qu’il transportait depuis Amsterdam peut donc être écartée. Ensuite, les enquêteurs ont exploité les données téléphoniques du numéro 00316873966142 permettant de retenir que le prévenu était actif dans la livraison de cocaïne à Lausanne depuis avril 2018 et qu’il utilisait ce numéro pour contacter l’organisateur des transports de cocaïne basé en Hollande, [...] (P. 47, p. 20). Ils ont également pu établir que le prévenu avait reçu une adresse de contact à Amsterdam communiquée par l’organisateur le 4 avril 2018. Ils ont également découvert une photographie envoyée au moyen du numéro allemand du prévenu de l’itinéraire aboutissant à Lausanne et comportant le passage à un poste frontière peu surveillé, la douane de Biaufond/ NE, passage que le prévenu utilisera pour ses livraisons de fin septembre et d’octobre 2018, selon le déclenchement du détecteur automatique de ce poste frontière (les données ne sont conservées que 30 jours). En se fondant également sur les données de téléphonie, les enquêteurs ont ainsi pu établir que le prévenu avait effectué, depuis avril 2018, 22 transports. En outre, en se fondant sur des pièces comptables de grossistes saisies dans les dépôts (et répertoriant la répartition entre les différents clients) ou en se fondant sur les enquêtes dirigées contre ces grossistes (opération Tanji), les enquêteurs ont pu quantifier la quantité de drogue livrée par le prévenu lors de chaque transport, à quelques exceptions près. On peut à cet égard se référer au rapport de synthèse (P. 47) en pages 18 à 101 sous le chapitre 6 « transports » et en particulier au tableau des livraisons figurant en pages 99 à 101. Lorsque la quantité de drogue n’a pas pu être déterminée, les enquêteurs l’ont indiquée comme « inconnue ». En outre, dans son acte d’accusation, le Ministère public a retenu, pour les livraisons qui ne pouvaient être mises en corrélation avec un décompte précis, une quantité de 50 g de cocaïne brute, qui correspond à 5 fingers de 10 g, soit le plus petit lot retrouvé pour chacune des livraisons depuis Amsterdam (cf. P. 47). De toute manière, la quantité totale de cocaïne brute de 45'050 grammes ne tient pas compte de toutes les livraisons dont la quantité est demeurée indéterminée. De plus, la quantité de drogue pure, soit 17 kilos et 772 grammes, est tellement élevée et éloignée du seuil du cas grave qu’une éventuelle diminution de cette quantité ne jouerait aucun rôle dans la fixation de la peine. Les faits ont ainsi été retenus sans violation de la présomption d’innocence.</w:t>
      </w:r>
    </w:p>
    <w:p>
      <w:r>
        <w:rPr>
          <w:b/>
        </w:rPr>
        <w:t>E. 5.1</w:t>
      </w:r>
    </w:p>
    <w:p>
      <w:r>
        <w:t>L’appelant conteste ensuite la peine qui lui a été infligée, essentiellement pour le motif que seuls les faits qu’il a expressément admis, qui ne constitueraient pas un cas grave, pourraient être retenus contre lui et qu’aucun élément à décharge n’a été pris en compte par les premiers juges. Il se livre en outre à une comparaison de peine avec celles infligées dans des jugements rendus par la Cour de céans, qui avait en outre retenu l’infraction de blanchiment d’argent, pour exposer que l'écart de peine ne se justifierait pas et résulterait d'une inégalité de traitement. Enfin, il serait digne du sursis partiel.</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w:t>
      </w:r>
    </w:p>
    <w:p>
      <w:r>
        <w:rPr>
          <w:b/>
        </w:rPr>
        <w:t>E. 5.2.2</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et les arrêts cités; TF 6B_963/2019 du 8 octobre 2019 consid. 3.3.1). La comparaison est généralement stérile, dès lors qu'il existe presque toujours des différences entre les circonstances, objectives et subjectives, que le juge doit prendre en considération dans chacun des cas (TF 6B_963/2019 précité consid. 3.3.1; TF 6B_138/2019 du 6 août 2019 consid. 3.1.1). Ce n’est que si le résultat auquel le juge est parvenu apparaît vraiment choquant, compte tenu notamment des arguments invoqués et des cas examinés par la jurisprudence, que l’on peut alors parler d’un véritable abus du pouvoir d’appréciation (ATF 141 IV 61 consid. 6.3.2 p. 69; ATF 135 IV 191 consid. 3.1 p. 193; ATF 123 IV 150 consid. 2a p. 152 s.).</w:t>
      </w:r>
    </w:p>
    <w:p>
      <w:r>
        <w:rPr>
          <w:b/>
        </w:rPr>
        <w:t>E. 5.3</w:t>
      </w:r>
    </w:p>
    <w:p>
      <w:r>
        <w:t>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8.3 Contrairement à ce que soutient l’appelant, il est établi que les montants saisis par la police lausannoise est, comme on l’a vu, une partie du produit de la vente de cocaïne livrée le 22 octobre 2018. Quant au téléphone portable Samsung, il a manifestement servi à la commission de l’infraction. En effet, ce téléphone était muni des numéros allemands de l’appelant qui ont permis de confondre celui-ci dans une livraison de drogue (P. 47, p. 16). A cela s’ajoute que cet appareil avait été séparé de sa batterie, ce qui est courant dans le milieu des trafiquants de drogue nigérians pour empêcher toute forme de surveillance des raccordements (P. 47, p. 16 s.). Quant au GPS, il a également servi à la commission de l’infraction, dès lors que le prévenu acheminait la cocaïne en Suisse en voiture. Au vu de ce qui précède, il n'y a pas lieu de restituer au prévenu les sommes de 138 fr. 35 (soit 125 euros), 4 fr. et 4'371 fr. 35 (soit 3'913.50 euros), ni le téléphone portable et le GPS séquestrés.</w:t>
      </w:r>
    </w:p>
    <w:p>
      <w:r>
        <w:rPr>
          <w:b/>
        </w:rPr>
        <w:t>E. 9</w:t>
      </w:r>
    </w:p>
    <w:p>
      <w:r>
        <w:t>La condamnation de l’appelant à une peine privative de liberté de 10 ans ayant été confirmée, il convient de rejeter sa conclusion tendant à l'allocation d'une indemnité en raison d’une détention illicite fondée sur l'art. 429 al. 1 let. c CPP. Quant à la conclusion tendant à l’allocation d’une indemnité de 5'000 fr. en dommages et intérêts correspondant à la valeur de l’alliance de l’appelant, elle est irrecevable, car elle ne concerne pas le jugement attaqué.</w:t>
      </w:r>
    </w:p>
    <w:p>
      <w:r>
        <w:rPr>
          <w:b/>
        </w:rPr>
        <w:t>E. 10</w:t>
      </w:r>
    </w:p>
    <w:p>
      <w:r>
        <w:t>Conformément à l’art. 51 CP, la détention subie depuis le jugement de première instance sera déduite de la peine privative de liberté prononcée. Le maintien en détention de R.________ en exécution anticipée de peine (art. 220 al. 2 CPP) est ordonné, vu l'absence d'attaches de celui-ci en Suisse et afin de garantir son expulsion.</w:t>
      </w:r>
    </w:p>
    <w:p>
      <w:r>
        <w:rPr>
          <w:b/>
        </w:rPr>
        <w:t>E. 11</w:t>
      </w:r>
    </w:p>
    <w:p>
      <w:r>
        <w:t>Il résulte de ce qui précède que l'appel doit être très partiellement admis et le jugement entrepris réformé dans le sens des considérants. Me Elodie Surchat, défenseur d'office de l'appelant, a produit une liste des opérations indiquant 30 h 58 de travail effectué par elle-même et 5 h 50 de travail effectué par Me Clelia Fumagalli, avocate stagiaire. Cette durée est trop élevée. Le poste "Préparation audience et plaidoirie", pour lequel l'avocate a consacré 8 heures, est excessif, dès lors que c'est le même mandataire qui a effectué le travail en première et en deuxième instance et qu'il connaissait ainsi bien le dossier. Il ne sera retenu que 4 heures pour ce poste. La durée de l'audience a été surestimée. En outre, il sera tenu compte d'une heure pour les opérations post-audience d'appel. Enfin, si le choix de travailler à plusieurs sur un dossier relève de l’organisation interne de l’étude, l’Etat n’a pas à indemniser à double le travail effectué. En l'espèce, vu le nombre d'heures annoncé, il ne fait aucun doute que le fait pour le défenseur d'office d'avoir été secondé par une avocate stagiaire s'est répercuté sur le temps consacré aux différents postes, ce qui aurait dû réduire d’autant les heures d’avocat. En définitive, il sera retenu 15 heures d'activité d'avocat breveté et 5 heures d’activité d’avocat stagiaire. Au tarif horaire de 180 fr. pour un avocat et 110 fr. pour un avocat stagiaire (art. 2 al. 1 let. a et b et 3 al. 1 RAJ [règlement sur l'assistance judiciaire en matière civile du 7 décembre 2010; BLV 211.02.3] par renvoi de l'art. 26b TFIP [tarif des frais de procédure et indemnités en matière pénale du 28 septembre 2010 ; BLV 312.03.1]), le défraiement s'élève à 3’250 francs. S'y ajoutent 2 % pour les débours (art. 3bis RAJ par renvoi de l'art. 26b TFIP), soit 69 fr. 80, et deux vacations à 120 fr., soit 240 fr., de sorte que l'indemnité d'office s'élève au total à 3'833 fr. 90, TVA par 7,7 % incluse. Vu l’issue de la cause, les frais d'appel, par 7'393 fr. 90, constitués de l'émolument de jugement (art. 21 al. 1 et 2 TFIP [Tarif des frais de procédure et indemnités en matière pénale du 28 septembre 2010 ; RSV 312.03.1]), par 3'560 fr., et de l’indemnité allouée à son défenseur d’office, par 3'833 fr. 90, seront mis par sept huitièmes à la charge de R.________, le solde étant laissé à la charge de l’Etat. R.________ ne sera tenu de rembourser à l’Etat les sept huitièmes du montant de l’indemnité en faveur de son défenseur d’office que lorsque sa situation financière le permettra. La Cour d’appel pénale, appliquant les art. 40, 47, 50, 51, 66a let. o, 69, 70 CP; 19 al. 1 let. a à e et g et al. 2 let. a et b LStup et 398 ss CPP, prononce : I. L’appel est très partiellement admis. II. Le jugement rendu le 13 février 2020 par le Tribunal criminel de l'arrondissement de Lausanne est modifié comme il suit au chiffre III de son dispositif, le dispositif du jugement étant désormais le suivant : " I. constate que R.________ s’est rendu coupable d’infraction grave à la Loi fédérale sur les stupéfiants; II. condamne R.________ à une peine privative de liberté de 10 (dix) ans, sous déduction de 480 (quatre cent huitante) jours de détention avant jugement; III. constate que R.________ a subi 311 (trois cent onze) jours de détention dans des conditions de détention provisoire illicites et ordonne que 107 (cent sept) jours de détention soient déduits de la peine fixée au chiffre II ci-dessus, à titre de réparation du tort moral; IV. ordonne, pour autant que de besoin, le maintien en détention de R.________, sous le régime de l’exécution anticipée de peine; V. ordonne l’expulsion de R.________ du territoire suisse pour une durée de 15 (quinze) ans; VI. rejette les demandes en indemnités déposées par R.________ le 11 février 2020 tendant au paiement des sommes de 130'000 fr., 15'550 fr. et 47'800 fr.; VII. renvoie R.________ à agir devant le Juge civil pour le surplus; VIII. ordonne la confiscation et la dévolution à l'Etat de Vaud des montants séquestrés sous fiches n ° 24987, 24988 et 24989, par 138 fr. 35 (soit 125 euros), 4 fr. et 4'371 fr. 35 (soit 3'913.50 euros); IX. ordonne la confiscation et la destruction des téléphones Nokia (IMEI 357295084723118), Nokia (IMEI 356944096738371) et Samsung, ainsi que le GPS avec chargeur, séquestrés sous fiche n ° 25722; X. ordonne le maintien au dossier à titre de pièces à conviction de cinq papiers manuscrits séquestrés sous fiche n ° 25722, des divers documents manuscrits et du calepin de répertoire téléphonique, séquestrés sous fiche n° 26584, des 5 CD issus des mesures de surveillances téléphoniques et des extractions du matériel téléphonique, inventoriés sous fiche n° 25391, ainsi que du CD contenant des traductions de conversations WhatsApp, inventorié sous fiche n° 25721; XI. arrête l’indemnité servie à Me Elodie Surchat, défenseur d’office de R.________, à 27'748 fr. 90, TVA et débours compris, sous déduction d’une avance de 9'000 fr. versée le 20 mars 2019; XII. dit que lorsque sa situation financière le permettra, R.________ sera tenu de rembourser à l’Etat le montant de l’indemnité allouée à son défenseur d’office sous chiffre XI ci-dessus; XIII. met les frais de la cause, par 54'582 fr. 45, y compris l’indemnité allouée sous chiffre XI ci-dessus, à la charge de R.________." III. La détention subie depuis le jugement de première instance est déduite. IV. Le maintien en exécution anticipée de peine de R.________ est ordonné. V. Une indemnité de défenseur d'office pour la procédure d'appel d'un montant de 3'833 fr. 90 , TVA et débours inclus, est allouée à Me Elodie Surchat. VI. Les frais d'appel, par 7'393 fr. 90, y compris l'indemnité allouée au défenseur d'office, sont mis à raison de sept huitièmes à la charge de R.________, le solde étant laissé à la charge de l’Etat. VII. R.________ ne sera tenu de rembourser à l’Etat les sept huitièmes du montant de l’indemnité en faveur de son défenseur d’office prévue au ch. V ci-dessus que lorsque sa situation financière le permettra . Le président :              La greffière : Du Le jugement qui précède, dont le dispositif a été communiqué par écrit aux intéressés le 7 juillet 2020 , est notifié, par l'envoi d'une copie complète, à : - Me Elodie Surchat, avocate (pour R.________), - Ministère public central, et communiqué à : - M. le Président du Tribunal criminel de l'arrondissement de Lausanne, - M. le Procureur cantonal Strada, - Office d'exécution des peines, - Service de la population, - Etablissements de la plaine de l’Orbe,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