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 vom 30. Januar 2019</w:t>
      </w:r>
    </w:p>
    <w:p>
      <w:r>
        <w:t>VD Tribunal cantonal, 2019-01-30, FR</w:t>
      </w:r>
    </w:p>
    <w:p>
      <w:r>
        <w:rPr>
          <w:b/>
        </w:rPr>
        <w:t xml:space="preserve">Quelle: </w:t>
      </w:r>
      <w:r>
        <w:t>https://mcp.opencaselaw.ch/entscheid/vd_findinfo_Jug___2020___27</w:t>
      </w:r>
    </w:p>
    <w:p>
      <w:r>
        <w:t>FR: VD_FINDINFO Jug / 2020 / 27 du 30 janvier 2019</w:t>
      </w:r>
    </w:p>
    <w:p>
      <w:r>
        <w:t>IT: VD_FINDINFO Jug / 2020 / 27 del 30 gennaio 2019</w:t>
      </w:r>
    </w:p>
    <w:p>
      <w:pPr>
        <w:pStyle w:val="Heading2"/>
      </w:pPr>
      <w:r>
        <w:t>Regeste</w:t>
      </w:r>
    </w:p>
    <w:p>
      <w:r>
        <w:t>EXPULSION{DROIT PÉNAL} | 66a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1.1</w:t>
      </w:r>
    </w:p>
    <w:p>
      <w:r>
        <w:t>p. 11). Cela étant, et compte tenu des différents avis médicaux (cf. supra consid. B.d), force est de constater qu'une mesure thérapeutique contraignante peut limiter le risque de récidive et améliorer les perspectives professionnelles du recourant. La nécessité d'un traitement contraignant ressort également des déclarations du recourant et de son curateur en appel (cf. supra consid. B.d). Ainsi, contrairement à ce que prétend la cour cantonale, la mise en place de la mesure ambulatoire, dont elle a elle-même ordonné la poursuite (ch. IX du dispositif), est pertinente dans la détermination des intérêts publics présidant à l'expulsion.</w:t>
      </w:r>
    </w:p>
    <w:p>
      <w:r>
        <w:rPr>
          <w:b/>
        </w:rPr>
        <w:t>E. 1.2</w:t>
      </w:r>
    </w:p>
    <w:p>
      <w:r>
        <w:t>En l'espèce, le jugement du 4 juin 2019 a été annulé en tant qu'il prononce l'expulsion du prévenu. A cet égard, l’arrêt de renvoi du 5 novembre 2019 comporte les considérants suivants : «</w:t>
      </w:r>
    </w:p>
    <w:p>
      <w:r>
        <w:rPr>
          <w:b/>
        </w:rPr>
        <w:t>E. 2</w:t>
      </w:r>
    </w:p>
    <w:p>
      <w:r>
        <w:t>Conformément à l'arrêt susmentionné, il doit être renoncé à ordonner l'expulsion d'E.________ dans la présente procédure. L'appel du Ministère public doit ainsi être rejeté.</w:t>
      </w:r>
    </w:p>
    <w:p>
      <w:r>
        <w:rPr>
          <w:b/>
        </w:rPr>
        <w:t>E. 2.2</w:t>
      </w:r>
    </w:p>
    <w:p>
      <w:r>
        <w:t>En l'espèce, la cour cantonale a considéré, en substance, que l'expulsion du recourant le placerait dans une situation personnelle grave. En cela, il n'y avait pas lieu de revenir sur le constat tiré du jugement d'appel du 18 avril 2018, concernant le recourant. Toutefois, la cour cantonale a rappelé que, dans cet arrêt d'avril 2018, une dernière chance avait été accordée au recourant pour qu'il prouve sa capacité de se soumettre sur le long terme à un traitement médical et ne plus occuper les instances judiciaires. Cela étant, et compte tenu de l'intégration médiocre du recourant en Suisse, de son ancrage dans la délinquance et de son incapacité de se soumettre à un traitement médical, la cour cantonale a estimé que l'intérêt public à l'expulsion devait désormais l'emporter sur son intérêt privé à demeurer en Suisse. Par ailleurs, en référence à l'art. 3 CEDH, la cour cantonale a considéré que le recourant ne serait pas exposé à un danger immédiat pour son intégrité physique en cas de retour en Erythrée, dès lors qu'il n'entrait pas dans des catégories définies par le Tribunal administratif fédéral (notamment opposant au régime, fonction en vue avant de quitter le pays, déserteur ou réfractaire au service militaire, en référence aux arrêts du TAF E-6449/2017 du 18 avril 2019 consid. 4.2, D-4429/2017 du 17 avril 2019 consid. 5.2; E-5022/2017 du 10 juillet 2018 consid. 6.1.6).</w:t>
      </w:r>
    </w:p>
    <w:p>
      <w:r>
        <w:rPr>
          <w:b/>
        </w:rPr>
        <w:t>E. 2.3</w:t>
      </w:r>
    </w:p>
    <w:p>
      <w:r>
        <w:t>Relevant son état de santé ainsi que la situation en Erythrée, le recourant se prévaut d'une violation des art. 25 al. 3 Cst., 3 et 13 CEDH ainsi que de l'art. 3 de la Convention contre la torture. L'examen d'une violation de l'art. 3 CEDH n'est possible que si les conséquences prévisibles du renvoi de l'intéressé dans l'Etat de destination sont établies, en prenant en compte la situation générale dans ce pays ainsi que les circonstances propres au cas de l'intéressé (cf. sup ra consid. 2.1.3, affaire CourEDH  Paposhvili contre Belgique). Or en l'occurrence, si la cour cantonale a présenté les risques de traitements inhumains et de torture auxquels sont exposés certains déserteurs ou opposants au régime erythréen, elle a omis d'envisager les conséquences concrètes du renvoi du recourant, lequel n'a jamais vécu dans le pays, présente un important retard mental et souffre d'une schizophrénie paranoïde. Tout en reconnaissant que le recourant ne bénéficierait pas de soutien médico-légal en Erythrée, la cour cantonale n'a pas vérifié les allégations, documentées par le recourant, relatives à l'absence générale de possibilité de soins psychiatriques dans ce pays, ni comparé son état de santé avant et après l'éventuel éloignement. Une telle omission ne permet pas le contrôle de la bonne application du droit par le Tribunal fédéral. Toutefois, pour des motifs d'économie de procédure, il convient d'examiner la cause sous l'angle de l'art. 66 al. 2 CP, dont le recourant se prévaut également.</w:t>
      </w:r>
    </w:p>
    <w:p>
      <w:r>
        <w:rPr>
          <w:b/>
        </w:rPr>
        <w:t>E. 2.4</w:t>
      </w:r>
    </w:p>
    <w:p>
      <w:r>
        <w:t>Ainsi que l'a admis la cour cantonale, l'expulsion du recourant en Erythrée le mettrait dans une situation grave en raison de son état de santé, lequel laisse présager qu'une (ré)intégration dans son pays d'origine serait en pratique très difficile voire impossible, de sorte que la première condition cumulative de l'art. 66a al. 2 CP est remplie. Il reste à déterminer si les intérêts publics présidant à son expulsion l'emportent sur son intérêt privé à demeurer en Suisse. Cet examen implique en particulier de déterminer si la mesure litigieuse respecte le principe de la proportionnalité découlant des art. 5 al. 2 Cst. et 8 par. 2 CEDH.</w:t>
      </w:r>
    </w:p>
    <w:p>
      <w:r>
        <w:rPr>
          <w:b/>
        </w:rPr>
        <w:t>E. 2.4.1</w:t>
      </w:r>
    </w:p>
    <w:p>
      <w:r>
        <w:t>Il est incontestable que le recourant dispose d'un intérêt privé extrêmement important à demeurer en Suisse. Il y est arrivé à 9 ans avec sa famille, y a suivi sa scolarité, y vit avec sa mère et son frère (lesquels constituent sa seule famille proche) et bénéficie d'une curatelle de portée générale en raison de son état de santé. Les répercussions d'une expulsion sur sa vie familiale et sociale sont graves, ainsi que le relève la cour cantonale. Bien que majeur, le recourant, qui présente un retard mental et souffre d'une schizophrénie paranoïde, n'est pas autonome. Les chances de réinsertion (ou plutôt d'insertion) dans son pays d'origine, dans lequel il n'est jamais allé, sont quasi nulles, étant précisé que rien ne permet de considérer qu'il pourrait y bénéficier d'un encadrement médico-social (cf. jugement entrepris consid. 5.1 p. 21 et 22). Outre l'absence de réseau familial en Erythrée et son mauvais état de santé mentale, rien n'indique, dans le jugement entrepris, que le recourant sera en mesure de réguler sa situation face au régime erythréen (paiement d'une taxe de 2%, lettre de regret d'avoir offensé le gouvernement, accomplissement du service national; cf. supra consid. 2.1.4). Aussi, compte tenu des circonstances personnelles particulières du recourant, lesquelles sont également pertinentes dans le cadre de l'examen de la proportionnalité, il existe une menace existentielle pour ce dernier en cas de renvoi (cf. supra consid. 2.1.4; art. 83 al. 4 LEI).</w:t>
      </w:r>
    </w:p>
    <w:p>
      <w:r>
        <w:rPr>
          <w:b/>
        </w:rPr>
        <w:t>E. 2.4.2</w:t>
      </w:r>
    </w:p>
    <w:p>
      <w:r>
        <w:t>Les intérêts publics présidant à l'expulsion sont également importants. Le recourant, qui a été condamné à onze reprises, à près de 4 ans de peine privative de liberté au total, n'est absolument pas intégré en Suisse et présente un danger pour la sécurité publique.</w:t>
      </w:r>
    </w:p>
    <w:p>
      <w:r>
        <w:rPr>
          <w:b/>
        </w:rPr>
        <w:t>E. 2.4.2.1</w:t>
      </w:r>
    </w:p>
    <w:p>
      <w:r>
        <w:t>Le cas particulier d'espèce nécessite toutefois d'examiner ces critères à la lumière de la situation spécifique du recourant. En effet, il est établi et incontesté que l'enracinement dans la délinquance et le risque de récidive du recourant sont en lien avec ses pathologies psychiatriques (jugement entrepris, consid. 5.1 p. 23). Ainsi, la mauvaise intégration en Suisse du recourant doit être relativisée par le grave état mental qu'il présente (QI de 44 et schizophrénie paranoïde), étant précisé qu'il est arrivé en Suisse alors qu'il avait 9 ans. A cela s'ajoute qu'un traitement médicamenteux par voie injectable et un suivi psychiatrique contraignants sont bénéfiques au recourant et permettent non seulement de limiter le risque de récidive mais également d'envisager une activité professionnelle, étant précisé que sitôt que la contrainte est levée, le recourant interrompt son traitement (cf. jugement du tribunal de police du 30 janvier 2019 consid. 6 p. 20 s.). La cour cantonale relève également qu'en 2015, un traitement pendant plus d'une année a permis au recourant de ne plus avoir de troubles du comportement et d'intégrer un atelier avec un taux d'activité minimum de 50% (jugement entrepris, consid. 5.1 p. 23). Ainsi, entre 2015 et 2017, il a travaillé et fait l'objet d'une seule condamnation pour injure et contravention à la LStup (cf. supra consid. B.b et B.c; jugement entrepris consid. C.</w:t>
      </w:r>
    </w:p>
    <w:p>
      <w:r>
        <w:rPr>
          <w:b/>
        </w:rPr>
        <w:t>E. 2.4.2.2</w:t>
      </w:r>
    </w:p>
    <w:p>
      <w:r>
        <w:t>Par ailleurs, si les antécédents du recourant sont très nombreux et s'étendent sur une longue période, ils concernent en grande partie des infractions dirigées contre le patrimoine. Au moment des faits reprochés, il n'y a pas eu de gravité croissante des infractions depuis l'acte de brigandage jugé en 2012, le recourant ayant été condamné, depuis lors, à des peines allant de 10 jours-amende à 6 mois de peine privative de liberté.</w:t>
      </w:r>
    </w:p>
    <w:p>
      <w:r>
        <w:rPr>
          <w:b/>
        </w:rPr>
        <w:t>E. 2.4.2.3</w:t>
      </w:r>
    </w:p>
    <w:p>
      <w:r>
        <w:t>Dans la présente cause, une peine privative de liberté de 90 jours a été prononcée contre le recourant, pour avoir tenté de dérober des biens dans un restaurant, pour avoir pénétré dans l'appartement d'un tiers (dont la porte n'était pas verrouillée) et y avoir dérobé deux téléphones portables (cf. sur les cas bagatelles: FIOLKA/VETTERLI, op. cit., ch. 4.2.3 p. 92). Le tribunal de première instance a estimé que les actes étaient de peu de gravité, le recourant n'ayant jamais adopté un comportement violent, et a admis une diminution de responsabilité, dans une mesure légère à tout le moins (jugement de première instance, consid. 4 p. 18). En outre, il y a lieu de tenir compte, dans l'appréciation des intérêts publics, que la condition à l'expulsion obligatoire déduite de l'art. 66a al. 1 let. d CP est réalisée en l'espèce, du seul fait que la lésée a déposé plainte pour violation de domicile (cf. sur le caractère particulier de cette disposition, FIOLKA/ VETTERLI, ibidem et la référence citée; cf. également arrêt 6B_1221/2018 du 27 septembre 2019 consid. 1.5, destiné à la publication aux ATF).</w:t>
      </w:r>
    </w:p>
    <w:p>
      <w:r>
        <w:rPr>
          <w:b/>
        </w:rPr>
        <w:t>E. 2.4.2.4</w:t>
      </w:r>
    </w:p>
    <w:p>
      <w:r>
        <w:t>Il résulte de ce qui précède que l'importance de l'intérêt public à l'expulsion du recourant est relativisée par son profil très particulier, compte tenu de son grave handicap mental, de ses troubles psychiatriques et de l'absence totale d'autonomie qui en découle (curatelle de portée générale et dépendance de sa mère et des services sociaux). La nature des infractions reprochées et la peine prononcée en l'espèce, le parcours délictuel du recourant ainsi que les bénéfices de la mise en œuvre de la mesure ambulatoire ordonnée (limitation du risque de récidive et amélioration de l'intégration en Suisse) sont également pertinents dans l'appréciation des intérêts publics.</w:t>
      </w:r>
    </w:p>
    <w:p>
      <w:r>
        <w:rPr>
          <w:b/>
        </w:rPr>
        <w:t>E. 2.4.3</w:t>
      </w:r>
    </w:p>
    <w:p>
      <w:r>
        <w:t>Déterminer si le recourant a honoré "l'ultime chance" qui lui avait été donnée dans le jugement d'avril 2018 pour démontrer sa capacité de se soumettre à un traitement et de ne plus occuper les instances judiciaires n'est pas un critère pertinent dans l'examen des conditions de l'art. 66a al. 1 et 2 CP. Un tel raisonnement reviendrait à envisager une forme de sursis à l'expulsion, lequel ne ressort pas de la loi. Cette considération mise à part, dans le cadre de la pesée des intérêts, il y a lieu de relever, d'une part, l'extrême gravité des conséquences d'une expulsion en Erythrée (pays dont la situation sous l'angle des droits humains est préoccupante) pour le recourant, lequel présente une situation personnelle particulière (retard mental et schizophrénie paranoïde, absence d'autonomie, aucun lien avec son pays d'origine, improbabilité d'y réguler sa situation). D'autre part, il convient de tenir compte, tant de la mauvaise intégration du recourant et de ses antécédents, – lesquels sont en lien avec son état mental –, que de la nature et la gravité des infractions en cause, de la peine prononcée ainsi que de la possibilité de mettre en œuvre une mesure apte à réduire de risque de récidive et à favoriser l'intégration du recourant. Dans les circonstances très particulières du cas d'espèce, l'intérêt privé du recourant à rester en Suisse l'emporte sur l'intérêt public à l'expulsion, de sorte que les conditions de l'art. 66a al. 2 CP sont réalisées. Dans l'hypothèse où le recourant devait à nouveau être condamné – étant relevé que son extrait de casier judiciaire mentionnait deux nouvelles enquêtes pénales pendant la procédure cantonale – il y aurait lieu d'apprécier les intérêts en cause à la lumière des facteurs pertinents au regard de la situation particulière (notamment état mental et degré de responsabilité du recourant).</w:t>
      </w:r>
    </w:p>
    <w:p>
      <w:r>
        <w:rPr>
          <w:b/>
        </w:rPr>
        <w:t>E. 2.4.4</w:t>
      </w:r>
    </w:p>
    <w:p>
      <w:r>
        <w:t>En définitive, indépendamment de savoir si les art. 3 CEDH et 3 de la Convention contre la torture sont violés en l'espèce (cf. supra consid. 2.3), il doit être renoncé à expulser le recourant dans la présente procédure. Il se justifie par conséquent d'admettre le recours et de renvoyer la cause à la cour cantonale.»</w:t>
      </w:r>
    </w:p>
    <w:p>
      <w:r>
        <w:rPr>
          <w:b/>
        </w:rPr>
        <w:t>E. 3.1</w:t>
      </w:r>
    </w:p>
    <w:p>
      <w:r>
        <w:t>Le défenseur d’office d'E.________ a déposé une liste d’opérations pour la procédure d'appel antérieure à l'arrêt du Tribunal fédéral du 5 novembre 2019, faisant état d’une activité de 17h19, dont 4h55 par l'avocat breveté et 13h24 par l'avocat-stagiaire, ce qui est excessif. L'avocat breveté annonce avoir consacré 2h30 à l'étude du dossier et aux recherches juridiques. Ces opérations ne sauraient être prises en compte, sauf à rémunérer deux fois la même activité: l'avocat-stagiaire s'est en effet présenté seul aux débats d'appel pour y plaider, annonçant 7h de préparation, dite préparation comportant nécessairement l'étude du dossier ainsi que des recherches juridiques. La durée annoncée pour cette préparation est au demeurant elle-même excessive, vu la connaissance du dossier acquise par le défenseur en première instance, celui-ci ayant en outre plaidé des moyens identiques à ceux présentés lors de la procédure d'appel précédente. Il convient dès lors de ramener à 4h30 la durée nécessaire à la préparation de l'audience. Il convient également de retrancher 0h30 correspondant à des opérations de secrétariat, soit la transmission par l'avocat breveté de six courriers aux parties. Enfin, la durée exacte de l'audience d'appel, de 1h20, sera prise en compte. Tout bien considéré, c’est une indemnité de 1'685 fr. 60, correspondant à 2h d’activité d'avocat breveté, au tarif horaire de 180 fr., et à 9h15 d'activité d'avocat-stagiaire, au tarif horaire de 110 fr., soit des honoraires de 1'377 fr. 50, auxquels s'ajoutent 27 fr. 55 de débours (2% des honoraires admis), deux vacations à 80 fr. et 120 fr. 50 de TVA, qui doit être allouée à Me Alain Imhof pour la procédure d’appel. Vu l’issue de la cause, les frais de la procédure d'appel antérieure à l'arrêt du Tribunal fédéral du 5 novembre 2019, par 4'475 fr. 60, constitués en l’espèce des émoluments de jugement et d'audience, par 2'790 fr. (art. 21 al. 1 et 2 TFIP [Tarif des frais de procédure et indemnités en matière pénale du 28 septembre 2010; BLV 312.03.1]), ainsi que de l’indemnité allouée au défenseur d’office, par 1'685 fr. 60, seront laissés à la charge de l'Etat.</w:t>
      </w:r>
    </w:p>
    <w:p>
      <w:r>
        <w:rPr>
          <w:b/>
        </w:rPr>
        <w:t>E. 3.2</w:t>
      </w:r>
    </w:p>
    <w:p>
      <w:r>
        <w:t>Vu les opérations de Me Alain Imhof postérieures l'arrêt du Tribunal fédéral du 5 novembre 2019, c’est une indemnité de 197 fr. 75, TVA et débours inclus, correspondant à 1 heure d’activité à 180 fr., et 2% de débours forfaitaire, plus la TVA, qui doit lui être allouée. Vu l’issue de la cause, les frais de la procédure d'appel postérieure à l'arrêt du Tribunal fédéral du 5 novembre 2019, soit 1'737 fr. 75, constitués en l’espèce des émoluments de jugement, par 1'540 fr. (art. 21 al. 1 et 2 TFIP), ainsi que de l’indemnité allouée au défenseur d’office, par 197 fr. 75,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