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243 vom 20. Dezember 2019</w:t>
      </w:r>
    </w:p>
    <w:p>
      <w:r>
        <w:t>VD Tribunal cantonal, 2019-12-20, FR</w:t>
      </w:r>
    </w:p>
    <w:p>
      <w:r>
        <w:rPr>
          <w:b/>
        </w:rPr>
        <w:t xml:space="preserve">Quelle: </w:t>
      </w:r>
      <w:r>
        <w:t>https://mcp.opencaselaw.ch/entscheid/vd_findinfo_Jug___2020___243</w:t>
      </w:r>
    </w:p>
    <w:p>
      <w:r>
        <w:t>FR: VD_FINDINFO Jug / 2020 / 243 du 20 décembre 2019</w:t>
      </w:r>
    </w:p>
    <w:p>
      <w:r>
        <w:t>IT: VD_FINDINFO Jug / 2020 / 243 del 20 dicembre 2019</w:t>
      </w:r>
    </w:p>
    <w:p>
      <w:pPr>
        <w:pStyle w:val="Heading2"/>
      </w:pPr>
      <w:r>
        <w:t>Regeste</w:t>
      </w:r>
    </w:p>
    <w:p>
      <w:r>
        <w:t>EXCÈS DE VITESSE, VIOLATION DES RÈGLES DE LA CIRCULATION, CAS GRAVE, FIXATION DE LA PEINE, CONSTATATION DES FAITS, RADAR | 32 al. 1 LCR, 90 al. 2 LCR, 4a al. 1 OCR</w:t>
      </w:r>
    </w:p>
    <w:p>
      <w:pPr>
        <w:pStyle w:val="Heading2"/>
      </w:pPr>
      <w:r>
        <w:t>Erwägungen</w:t>
      </w:r>
    </w:p>
    <w:p>
      <w:r>
        <w:rPr>
          <w:b/>
        </w:rPr>
        <w:t>E. 1.1</w:t>
      </w:r>
    </w:p>
    <w:p>
      <w:r>
        <w:t>Conformément à l’at. 399 al. 1 CPP (Code de procédure pénale suisse du 5 octobre 2007 ; RS 312.0), la partie annonce l’appel au tribunal de première instance par écrit ou oralement pour mention au procès-verbal dans le délai de dix jours à compter de la communication du jugement. En vertu de l’art. 399 al. 3 let. a CPP, la déclaration d’appel doit indiquer si le jugement est attaqué dans son ensemble ou seulement sur certaines parties. Dans ce dernier cas, l’appelant est tenu de mentionner, dans sa déclaration d’appel, de manière définitive, sur quelles parties porte l’appel. L’art. 399 al. 4 CPP énumère, à ses lettres a à g, les parties du jugement qui peuvent être attaquées séparément. L’appel peut ainsi notamment porter sur la question de la culpabilité, le cas échéant en rapport avec chacun des actes (let. a), sur la quotité de la peine (let. b), sur les mesures qui ont été ordonnées (let. c), les prétentions civiles (let. d) ou les frais, indemnités et réparation du tort moral (let. f). Selon l’art. 404 al. 1 CPP, la juridiction d’appel n’examine que les points attaqués du jugement de première instance. Elle revoit ces points avec un plein pouvoir d’examen (art. 398 al. 2 CPP), sans être liée par les motifs invoqués par les parties ni par leurs conclusions (sauf en matière civile ; art. 391 al. 1 CPP ; ATF 144 IV 383 consid. 1.1). Après que l’objet de l’appel a été fixé dans la déclaration d’appel, la portée de celui-ci ne peut plus être élargie (TF 6B_125/2019 du 5 mars 2019 consid. 1). La limitation de l’appel doit être univoque. Si l’appel n’est pas expressément limité à certains points ou s’il y a un doute à cet égard, il y a lieu de considérer que le jugement est attaqué dans son ensemble (TF 6B_562/2019 du 27 novembre 2019 consid. 2.1).</w:t>
      </w:r>
    </w:p>
    <w:p>
      <w:r>
        <w:rPr>
          <w:b/>
        </w:rPr>
        <w:t>E. 1.2</w:t>
      </w:r>
    </w:p>
    <w:p>
      <w:r>
        <w:t>En l’espèce, il ressort de l’annonce d’appel du 13 janvier 2020, qui est motivée, que l’appelant conteste avoir roulé à 163 km/h et qu’il admet avoir circulé à 143 km/h. Il conteste également la peine prononcée dans la mesure où il dit qu’elle est « injustifiée » (P. 13). On comprend ainsi que le prévenu conteste les faits constatés en première instance et qu’il considère la peine trop sévère.</w:t>
      </w:r>
    </w:p>
    <w:p>
      <w:r>
        <w:rPr>
          <w:b/>
        </w:rPr>
        <w:t>E. 1.3</w:t>
      </w:r>
    </w:p>
    <w:p>
      <w:r>
        <w:t>Au surplus, interjeté dans délais légaux par une partie ayant qualité pour recourir contre le jugement du tribunal de première instance qui a clos la procédure (art. 398 al. 1 CPP), l’appel de P.________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w:t>
      </w:r>
    </w:p>
    <w:p>
      <w:r>
        <w:rPr>
          <w:b/>
        </w:rPr>
        <w:t>E. 3.1</w:t>
      </w:r>
    </w:p>
    <w:p>
      <w:r>
        <w:t>L’appelant fait valoir que la vitesse indiquée par le radar serait fausse, dès lors que juste après avoir été flashé, il aurait consulté le compteur de vitesse de sa moto, qui aurait indiqué 143 km/h. Il a expliqué aux débats que, selon l’expertise réalisée en août 2019, le compteur de sa moto affiche une vitesse correcte, présentant</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Kuhn/Jeanneret/Perrier Depeursinge [éd.],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w:t>
      </w:r>
    </w:p>
    <w:p>
      <w:r>
        <w:rPr>
          <w:b/>
        </w:rPr>
        <w:t>E. 3.3</w:t>
      </w:r>
    </w:p>
    <w:p>
      <w:r>
        <w:t>En l’espèce, le prévenu a toujours admis avoir commis un excès de vitesse, mais pas dans la mesure établie par le radar. Il s’agit d’un modèle « Traffic Observer », de type LMS (laser), fabriqué par la maison CES. Selon les certificats de vérification de l’Institut de métrologie produits par la police, le système de surveillance au trafic et le scanner à laser ont été contrôlés respectivement les 28 juin 2018 et 28 février 2018 (P. 8). Les vérifications étaient ainsi toujours valables au jour de l’excès de vitesse, commis le 21 juillet 2018. C’est précisément pour éviter tout risque d’erreur que le Traffic Observer procède à deux mesures de vitesse indépendantes l’une de l’autre, par des méthodes différentes. Les deux mesures ont indiqué une vitesse de 163 km/h. Par ailleurs, le sergent-major [...], qui a installé l’appareil, a attesté qu’il avait respecté les directives techniques et légales (P. 8). Il a au demeurant suivi une formation spécifique pour installer, utiliser et procéder à la maintenance de l’appareil ( idem ). Le fait que le prévenu soit certain d’avoir roulé à une vitesse moindre ne change rien aux éléments objectifs qui précèdent. Rien ne permet d’affirmer que le compteur de sa moto serait plus précis que le radar et il n’est pas possible de vérifier la constatation visuelle de l’appelant, qui pourrait s’être trompé. Il affirme avoir consulté son compteur juste après avoir été flashé, sans avoir ralenti. Or, il est notoire que le flash d’un radar engendre chez tout conducteur un effet réflexe de ralentir, d’autant lorsqu’il sait déjà qu’il commet un excès de vitesse. Au surplus, l’accélération et la décélération peut être très rapide à moto, d’autant plus avec une telle cylindrée, le prévenu conduisant une Honda 1000 cc. Partant, l’argument de l’appelant ne convainc pas. Enfin, on ne discerne pas en quoi le fait qu’il y avait du vent et qu’une passagère accompagnait l’appelant l’aurait empêché de rouler à 163 km/h. Ces éléments ne sont pas suffisants pour douter du bon fonctionnement du radar. Conformément à l’art. 8 al. 1 let. b ch. 3 OOCCR-OFROU (Ordonnance de l'Office fédéral des routes concernant l’ordonnance sur le contrôle de la circulation routière du 22 mai 2008 ; RS 741.013.1), il y a lieu de déduire de la vitesse mesurée une marge de sécurité de 5 km/h. Il faut donc retenir que l’appelant a circulé à une vitesse de 158 km/h, alors que la vitesse maximale autorisée était de 120 km/h, commettant ainsi un excès de vitesse de 38 km/h. 4. 4.1 L’appelant considère sa peine comme étant trop sévère. 4.2 4.2.1 Conformément à l'art. 90 LCR (loi fédérale sur la circulation routière du 19 décembre 1958 ; RS 741.01),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Plus la violation de la règle de la circulation est objectivement grave, plus on admettra l'existence d'une absence de scrupule, sauf indice particulier permettant de retenir le contraire (ATF 142 IV 93 précité). Dans le domaine des excès de vitesse, afin d'assurer l'égalité de traitement, la jurisprudence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TF 6B_326/2017 du 20 novembre 2017 consid. 1.1).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(TF 6B_326/2017 précité ; TF 6B_3/2014 du 28 avril 2014 consid. 1.1 ; TF 6B_1011/2013 du 13 mars 2014 consid. 2.1). Cependant, la jurisprudence admet que dans des circonstances exceptionnelles, il y a lieu d’exclure l’application du cas grave alors même que le seuil de l’excès de vitesse fixé a été atteint (ATF 143 IV 508 consid. 1.3). Ainsi, sous l’angle de l’absence de scrupules, le Tribunal fédéral a retenu que le cas grave n’était pas réalisé lorsque la vitesse avait été limitée provisoirement à 80km/h sur un tronçon autoroutier pour des motifs écologiques liés à une présence excessive de particules fines dans l’air (TF 6B_444/2016 du 3 avril 2017 consid. 1.3.2 ; TF 6B_109/2008 du 13 juin 2008 consid. 2.2), ou encore lorsque la limitation de vitesse violée relevait notamment de mesures de modération du trafic (TF 6B_622/2009 du 23 octobre 2009 consid. 3.5). 4.2.2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 4.2.3 Selon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4.3 En l’espèce, l’excès de vitesse de 38 km/h remplit objectivement la condition du cas grave. De plus, aucun élément ne permet de retenir une circonstance exceptionnelle. En particulier, le prévenu savait qu’il commettait un excès de vitesse et venait de dépasser une voiture (P. 5). L’infraction de violation grave des règles de la circulation routière est donc réalisée. La peine de 25 jours-amende à 30 fr. le jour est adéquate. Elle est même assez clémente, au vu de l’excès de vitesse et de l’antécédent de l’appelant, qui avait déjà commis un excès de vitesse caractérisé à moto. Par ailleurs, l’appelant circulait avec une passagère, de sorte qu’il a mis en danger sa sécurité et celle d’autrui. De plus, lors des débats de première instance, le prévenu a laissé entendre que pour un motard, il serait parfaitement normal de commettre des excès de vitesse (jugement p. 7), de sorte qu’il n’apparaît pas que l’appelant ait pris conscience de la gravité des faits. Vu les éléments qui précèdent, il y a lieu de confirmer la peine prononcée par le premier juge. Dans la mesure où le prévenu a fait l’objet le 22 avril 2015 d’une condamnation à une peine privative de liberté de 16 mois avec sursis et qu’il minimise son comportement, le pronostic n’est pas favorable. Le sursis est donc exclu. 5. En conclusion, l’appel formé par P.________ doit être rejeté et le jugement entrepris confirmé. Vu l’issue de la cause, les frais de deuxième instance, constitués en l’espèce des émoluments de jugement et d’audience, par 1’500 fr. (art. 21 al. 1 et 2 TFIP [tarif des frais de procédure et indemnités en matière pénale du 28 septembre 2010 ; BLV 312.03.1]), doivent être mis à la charge de l’appelant P.________, qui succombe (art. 428 al. 1 CPP).</w:t>
      </w:r>
    </w:p>
    <w:p>
      <w:r>
        <w:rPr>
          <w:b/>
        </w:rPr>
        <w:t>E. 5</w:t>
      </w:r>
    </w:p>
    <w:p>
      <w:r>
        <w:t>km/h de plus que la vitesse réelle. Il ajoute par ailleurs que, compte tenu du vent et de la présence de sa passagère, il n’aurait pas pu atteindre la vitesse de 163 km/h avec son véhicule. Il estime ainsi que le radar devait être défectueux.</w:t>
      </w:r>
    </w:p>
    <w:p>
      <w:r>
        <w:rPr>
          <w:b/>
        </w:rPr>
        <w:t>E. 6</w:t>
      </w:r>
    </w:p>
    <w:p>
      <w:r>
        <w:t>§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144 IV 345 consid. 2.2.3.3 ; ATF 143 IV 500 consid. 1.1 ; ATF 138 V 74 consid. 7 ; TF 6B_1283/2018 du 14 février 2019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