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235 vom 6. Dezember 2019</w:t>
      </w:r>
    </w:p>
    <w:p>
      <w:r>
        <w:t>VD Tribunal cantonal, 2019-12-06, FR</w:t>
      </w:r>
    </w:p>
    <w:p>
      <w:r>
        <w:rPr>
          <w:b/>
        </w:rPr>
        <w:t xml:space="preserve">Quelle: </w:t>
      </w:r>
      <w:r>
        <w:t>https://mcp.opencaselaw.ch/entscheid/vd_findinfo_Jug___2020___235</w:t>
      </w:r>
    </w:p>
    <w:p>
      <w:r>
        <w:t>FR: VD_FINDINFO Jug / 2020 / 235 du 6 décembre 2019</w:t>
      </w:r>
    </w:p>
    <w:p>
      <w:r>
        <w:t>IT: VD_FINDINFO Jug / 2020 / 235 del 6 dicembre 2019</w:t>
      </w:r>
    </w:p>
    <w:p>
      <w:pPr>
        <w:pStyle w:val="Heading2"/>
      </w:pPr>
      <w:r>
        <w:t>Regeste</w:t>
      </w:r>
    </w:p>
    <w:p>
      <w:r>
        <w:t>FIXATION DE LA PEINE, CONSTATATION DES FAITS, SÉJOUR ILLÉGAL, BLANCHIMENT D'ARGENT | 305bis ch. 1 CP, 47 CP, 49 al. 1 CP, 10 CPP (CH), 115 al. 1 let. b LEI</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I.________ est recevable. La procédure écrite est applicable compte tenu de l’accord exprès donné par le prévenu et de l’accord tacite donné par le Ministère public, qui ne s’est pas déterminé sur cette question dans le délai qui lui a été imparti à cet effet, les autres conditions de l’art. 406 al. 2 CPP étant par ailleurs remplies.</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w:t>
      </w:r>
    </w:p>
    <w:p>
      <w:r>
        <w:rPr>
          <w:b/>
        </w:rPr>
        <w:t>E. 3</w:t>
      </w:r>
    </w:p>
    <w:p>
      <w:r>
        <w:t>Contestant sa condamnation pour blanchiment d'argent, l'appelant fait valoir que l'enquête n'a révélé aucun indice qu'il aurait su quoi que ce soit des escroqueries commises au détriment des acheteurs ou qu’il aurait eu un quelconque lien avec leur auteur. Au bénéfice du doute, il faudrait admettre qu'il ignorait l'origine de l'argent arrivant sur son compte, que, comme il recevait des sommes similaires de son amie en Allemagne, il avait cru que les montants litigieux avaient la même origine, que même s'il s'était posé des questions, il aurait pensé à des virements dus à des erreurs et pas à des crimes. Il se serait contenté d’utiliser les sommes reçues pour son compte en croyant qu’il s’agissait de son propre argent et n’aurait en particulier pas reversé ces sommes à l’étranger. En définitive, on ne saurait considérer qu’il se serait rendu coupable de blanchiment d’argent, même par dol éventuel.</w:t>
      </w:r>
    </w:p>
    <w:p>
      <w:r>
        <w:rPr>
          <w:b/>
        </w:rPr>
        <w:t>E. 3.1.1</w:t>
      </w:r>
    </w:p>
    <w:p>
      <w:r>
        <w:t>Se rend coupable de blanchiment d'argent celui qui aura commis un acte propre à entraver l'identification de l'origine, la découverte ou la confiscation de valeurs patrimoniales dont il savait ou devait présumer qu'elles provenaient d'un crime ou d'un délit fiscal qualifié (art. 305bis ch. 1 CP [ Code pénal du 21 décembre 1937; RS 311.0 ]). Le blanchiment peut être réalisé par n'importe quel acte propre à entraver l'établissement d'un lien entre le crime préalable et la valeur patrimoniale qui en provient, ou à faire échapper la mainmise sur ces valeurs par les autorités. En d'autres termes, l'acte doit être propre à introduire la valeur patrimoniale dans l'économie légale. Le retrait en espèces des avoirs déposés sur un compte bancaire est un acte d'entrave, car ces avoirs ne pourront plus être surveillés à l'aide de documents bancaires (Dupuis et alii , Petit Commentaire du Code pénal, Bâle 2017, 2 e éd., nn. 25 et 29 ad art. 305bis CP).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qu’il soit établi que les valeurs patrimoniales proviennent d'un crime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(ATF 138 IV 1 consid. 4.2.3.2; TF 6B_724/2012 du 24 juin 2013 consid. 3.1). Le blanchiment d'argent est une infraction intentionnelle, mais le dol éventuel suffit (ATF 136 IV 179, JdT 2011 IV 143). Selon le texte légal, il suffit que l'auteur dût présumer que les valeurs patrimoniales provenaient d'un crime pour être punissable, c'est-à-dire qu'il ait envisagé et accepté les circonstances qui remplissent les éléments constitutifs d'une infraction, ainsi que le fait que cette infraction soit susceptible d'entraîner une sanction pénale importante. Il suffit que la transaction sorte de l'ordinaire pour que les soupçons de l'auteur doivent être éveillés (Dupuis et alii , op. cit., n. 35 ad art. 305bis CP).</w:t>
      </w:r>
    </w:p>
    <w:p>
      <w:r>
        <w:rPr>
          <w:b/>
        </w:rPr>
        <w:t>E. 3.1.2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Commentaire romand, Code de procédure pénale suisse, 2 e éd., Bâle 2019, n. 34 ad art. 10 CPP). La présomption d’innocence, ainsi que son corollaire, le principe in dubio pro reo ,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ATF 143 IV 500 consid. 1.1;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ATF 136 III 552 consid. 4.2).</w:t>
      </w:r>
    </w:p>
    <w:p>
      <w:r>
        <w:rPr>
          <w:b/>
        </w:rPr>
        <w:t>E. 3.2</w:t>
      </w:r>
    </w:p>
    <w:p>
      <w:r>
        <w:t>En l’espèce, il convient en premier lieu de relever que l’appelant ne conteste pas que l'argent litigieux provienne d'escroqueries. Le premier juge a considéré que le prévenu devait se rendre compte que l’argent versé sur son compte avait une provenance illicite dès lors que les virements faisaient référence à des objets qu'il n'avait pas vendus, que onze virements sur une période aussi courte devaient susciter des questionnements, qu’il n'était pas crédible lorsqu'il affirmait avoir pensé que l'argent provenait de son amie, les versements de celle-ci n'étant que mensuels. Même si ces considérations sont exactes et doivent être suivies, avec l'appelant, on peut admettre que la mention d'objets qu'il n'avait pas vendus ne devait pas nécessairement faire penser à des crimes mais pouvait faire penser qu'il y avait eu erreur. Cela étant, comme l’a à juste titre relevé le premier juge, le compte de I.________ a été crédité à 11 reprises entre le 22 et le 30 octobre 2018, ce qui devait nécessairement attirer son attention. D’ailleurs, une analyse attentive du relevé de ce compte (P. 5/1) montre qu’après chaque versement, l’intéressé retirait pratiquement le même montant, ce qui démontre qu’il était attentif et conscient de ce qui arrivait sur son compte. Quoi qu’il en soit, ce qui est déterminant, c'est qu'il ressort du dossier que les dupes n'ont pas viré l'argent en se fiant à des coordonnées trouvées sur une même page Internet qui aurait pu contenir une erreur de numéro de compte, mais se sont fiées aux indications qui leur ont été données personnellement par le « vendeur ». Or, le ou les escrocs, dans les échanges de courriels avec les dupes, ont bien, dans chaque cas documenté, donné les coordonnées du compte du prévenu, en indiquant son nom et son numéro de compte. Cela signifie que c'est de façon délibérée que ce compte a été utilisé, et donc qu'il y avait bien un accord entre le ou les escrocs et le prévenu, un escroc n'ayant aucun intérêt à escroquer si l'argent est perdu pour lui. On ne peut qu’en déduire que le prévenu connaissait l'origine des fonds versés sur son compte, sa condamnation pour blanchiment d’argent devant par conséquent être confirmée.</w:t>
      </w:r>
    </w:p>
    <w:p>
      <w:r>
        <w:rPr>
          <w:b/>
        </w:rPr>
        <w:t>E. 4</w:t>
      </w:r>
    </w:p>
    <w:p>
      <w:r>
        <w:t>Contestant la quotité de la peine, le prévenu fait valoir qu'il a déjà été condamné pour son séjour illégal du 23 mai 2016 au 15 mars 2019 par ordonnance pénale du Ministère public du canton de Fribourg du 24 mai 2019 et qu'il ne se justifiait pas de lui infliger un complément de peine de 10 jours-amende juste pour la période du 16 au 22 mars 2019.</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66_1037/2018 consid. 1.3). L'exigence, pour appliquer l'art. 49 al. 1 CP, que les peines soient de même genre, implique que le juge examine, pour chaque infraction commise, la nature de la peine à prononcer pour chacune d'elle. Le prononcé d'une peined'ensemble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ATF 142 IV 265 consid. 2.3.3). L'auteur qui encourt plusieurs peines du même genre doit pouvoir bénéficier du principe de l'aggravation, indépendamment du fait que la procédure s'est ou non déroulée en deux temps. Le principe de l'aggravation ne s'applique qu'aux peines du même genre. Des peines d'un genre différent doivent être cumulées. Le juge ne peut prononcer une peine privative de liberté d'ensemble que si, dans un cas concret, il choisit la même peine pour toutes les infractions (TF 6B_559/2018 consid. 1.1 destiné à la publication; ATF 144 IV 217 consid. 2.2). Ces conditions valent également pour la peine complémentaire en cas de concours rétrospectif selon l'art. 49 al. 2 CP (ATF 145 IV 1, JT 2019 IV 267; ATF 142 IV 265 consid. 2.3.2; ATF 137 IV 57 consid. 4.3.1).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La peine complémentaire est constituée de la différence entre cette peine d'ensemble</w:t>
      </w:r>
    </w:p>
    <w:p>
      <w:r>
        <w:rPr>
          <w:b/>
        </w:rPr>
        <w:t>E. 4.1.3</w:t>
      </w:r>
    </w:p>
    <w:p>
      <w:r>
        <w:t>Aux termes de l'art. 115 al. 1 LEI (Loi fédérale sur les étrangers et l'intégration du 16 décembre 2005; RS 142.20), est puni d’une peine privative de liberté d’un an au plus ou d’une peine pécuniaire quiconque contrevient aux dispositions sur l’entrée en Suisse (let. a); séjourne illégalement en Suisse, notamment après l’expiration de la durée du séjour non soumis à autorisation ou du séjour autorisé (al. 2). Le séjour illégal est un délit continu (ATF 135 IV 6 consid. 3.2; TF 6B_1226/2013 du 31 mars 2014).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En vertu du principe de la culpabilité sur lequel repose le droit pénal, les peines prononcées dans plusieurs procédures pénales en raison de l'effet de césure ne peuvent dépasser la peine maximale prévue par la loi pour l'infraction en question (ATF 135 IV 6 consid. 4.2).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w:t>
      </w:r>
    </w:p>
    <w:p>
      <w:r>
        <w:rPr>
          <w:b/>
        </w:rPr>
        <w:t>E. 4.2</w:t>
      </w:r>
    </w:p>
    <w:p>
      <w:r>
        <w:t>En l’espèce, le premier juge a considéré qu’une peine pécuniaire de 50 jours-amende se justifiait pour sanctionner l’infraction – la plus grave – de blanchiment d’argent. Bien que les montants en jeu soient de peu d’importance, le prévenu avait agi délibérément et devait se rendre compte de l’origine des fonds. Cette motivation n’est pas remise en cause en appel, pas plus que la quotité du jour amende, fixée en conformité avec la situation financière précaire du prévenu. On précisera au demeurant que l’intéressé ne saurait prétendre avoir agi dans un « état de nécessité personnelle et financière », puisqu’il a à l’évidence choisi de séjourner illégalement en Suisse, ce qui a sans doute contribué à son dénuement. Il ne saurait ainsi se prévaloir de ses choix pour prétendre à une réduction de sa culpabilité. S’agissant du séjour illégal, la condamnation du 24 mai 2019 portait sur la période du 23 mai 2016 au 15 mars 2019. Malgré le déclenchement de cette procédure fribourgeoise, l’appelant n’a pas quitté la Suisse mais a persisté à y demeurer jusqu’au 22 mars 2019. Il était donc normal de sanctionner cette continuation de l’activité délictueuse, conformément à la jurisprudence citée au consid. 4.1.3 qui précède. Contrairement à ce que prétend l’intéressé, cette sanction complémentaire de 10 jours-amende est parfaitement proportionnée. En effet, en l’absence de nouvelle décision d’agir, la peine complémentaire devait être adaptée à la culpabilité de l’intéressé et rester inférieure à la peine maximale prévue par la loi. En l’occurrence, tel est le cas en l’espèce, et on rappellera que, alors que le premier juge aurait pu prononcer une peine privative de liberté complémentaire, celui-ci s’est limité à une peine pécuniaire, et que celle-ci constitue une aggravation, en raison d’un concours, de la peine de base pour le blanchiment d’argent. Pour le surplus, l’amende prononcée à titre de sanction immédiate au vu du sursis accordé ne prête pas le flanc à la critique et n’est pas contestée en soi. La peine pécuniaire avec sursis et l’amende prononcées par le premier juge sont adéquates et doivent être confirmées.</w:t>
      </w:r>
    </w:p>
    <w:p>
      <w:r>
        <w:rPr>
          <w:b/>
        </w:rPr>
        <w:t>E. 5</w:t>
      </w:r>
    </w:p>
    <w:p>
      <w:r>
        <w:t>Au vu de ce qui précède, l’appel doit être rejeté et le jugement du</w:t>
      </w:r>
    </w:p>
    <w:p>
      <w:r>
        <w:rPr>
          <w:b/>
        </w:rPr>
        <w:t>E. 6</w:t>
      </w:r>
    </w:p>
    <w:p>
      <w:r>
        <w:t>décembre 2019 confirmé. Le défenseur d’office de I.________ a déposé une liste d’opérations dont il n’y a pas lieu de s’écarter. C’est donc le montant demandé, par 968 fr. 20, débours et TVA compris, qui sera alloué à Me François Gillard pour la procédure d’appel. Vu l'issue de la cause, les frais de la procédure d'appel, par 2’398 fr. 20, constitués en l’espèce de l'émolument de jugement, par 1’430 fr. (art. 21 al. 1 TFIP), ainsi que de l’indemnité allouée au défenseur d’office, par 968 fr. 20, seront mis à la charge de I.________, qui succombe (art. 428 al. 1 CPP). I.________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