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22 vom 12. September 2019</w:t>
      </w:r>
    </w:p>
    <w:p>
      <w:r>
        <w:t>VD Tribunal cantonal, 2019-09-12, FR</w:t>
      </w:r>
    </w:p>
    <w:p>
      <w:r>
        <w:rPr>
          <w:b/>
        </w:rPr>
        <w:t xml:space="preserve">Quelle: </w:t>
      </w:r>
      <w:r>
        <w:t>https://mcp.opencaselaw.ch/entscheid/vd_findinfo_Jug___2020___22</w:t>
      </w:r>
    </w:p>
    <w:p>
      <w:r>
        <w:t>FR: VD_FINDINFO Jug / 2020 / 22 du 12 septembre 2019</w:t>
      </w:r>
    </w:p>
    <w:p>
      <w:r>
        <w:t>IT: VD_FINDINFO Jug / 2020 / 22 del 12 settembre 2019</w:t>
      </w:r>
    </w:p>
    <w:p>
      <w:pPr>
        <w:pStyle w:val="Heading2"/>
      </w:pPr>
      <w:r>
        <w:t>Regeste</w:t>
      </w:r>
    </w:p>
    <w:p>
      <w:r>
        <w:t>FIXATION DE LA PEINE | 47 CP, 49 CP, 10 CPP (CH), 135 CPP (CH)</w:t>
      </w:r>
    </w:p>
    <w:p>
      <w:pPr>
        <w:pStyle w:val="Heading2"/>
      </w:pPr>
      <w:r>
        <w:t>Erwägungen</w:t>
      </w:r>
    </w:p>
    <w:p>
      <w:r>
        <w:rPr>
          <w:b/>
        </w:rPr>
        <w:t>E. 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considérant 3.1; CAPE 16 décembre 2019/416 consid. 2 et les références citées).</w:t>
      </w:r>
    </w:p>
    <w:p>
      <w:r>
        <w:rPr>
          <w:b/>
        </w:rPr>
        <w:t>E. 3</w:t>
      </w:r>
    </w:p>
    <w:p>
      <w:r>
        <w:t>L'appelant conteste la quotité de la peine prononcée contre lui, qu'il juge exagérément sévère compte tenu de son comportement au cours de la procédure préliminaire, de la prise de conscience dont il a fait preuve ainsi que de son repentir sincère. Il reproche en particulier au premier juge de ne pas avoir tenu compte du fait qu'il était sous l'emprise de l'alcool et de la marijuana lorsqu'il a commis les lésions corporelles simples qualifiées ainsi que les dommages à la propriété du 18 mars 2017. L'autorité intimée n'aurait par ailleurs pas tenu compte de son enfance difficile pourtant attestée par les experts dans leur rapport du 9 janvier 2019. Ses aveux spontanés, sa collaboration exemplaire et son repentir sincère pour certaines infractions ainsi que sa réelle prise de conscience auraient été totalement éludées par les premiers juges : à cet égard, il se prévaut d'un courrier qu'il a adressé au procureur (P. 50), du fait qu'il s'est spontanément dénoncé auprès des autorités de police à la suite des événements du 18 mars 2017 et d'un courrier adressé à l'une de ses victimes (P. 48) et soutient que les conditions de l'art. 48 let. d CP sont ainsi réalisées. Il expose que les injures et menaces proférées à rencontre de sa colocataire [...] l'auraient été sous le coup d'une émotion violente déclenchée par la présence de la litière du chat devant sa porte dans le cadre d'une cohabitation délétère et invoque dès lors l'art. 48 let. c CP. Il fait enfin valoir que les premiers juges auraient failli à leur obligation de motiver la peine prononcée en ne précisant pas de quelle manière ils avaient tenu compte des circonstances atténuantes mentionnées dans le jugement. Il soutient qu'au vu ce qui précède, la peine fixée serait manifestement excessive et rappelle que le procureur l'avait initialement condamné à une peine privative de liberté de 6 mois ainsi qu'à une amende de 500 fr. pour la grande majorité des faits qui lui sont reprochés.</w:t>
      </w:r>
    </w:p>
    <w:p>
      <w:r>
        <w:rPr>
          <w:b/>
        </w:rPr>
        <w:t>E. 3.1.1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CAPE 12 novembre 2019/355 consid. 8.2.1 et les références citées).</w:t>
      </w:r>
    </w:p>
    <w:p>
      <w:r>
        <w:rPr>
          <w:b/>
        </w:rPr>
        <w:t>E. 3.1.2</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 CREP 8 octobre 2018 consid. 5.1.3 et les références citées).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(TF 6B_975/2015 du 7 avril 2016 ; TF 6B_292/2017 du 14 novembre 2017 ; ATF 136 IV 55; CREP 8 octobre 2018 consid. 5.1.3 et les références citées).</w:t>
      </w:r>
    </w:p>
    <w:p>
      <w:r>
        <w:rPr>
          <w:b/>
        </w:rPr>
        <w:t>E. 3.1.3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précité ; CAPE 12 novembre 2019/355 consid. 8.2.2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CAPE 12 novembre 2019/355 consid. 8.2.2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 ; CAPE 2 septembre 2019/247 consid. 6.1.2).</w:t>
      </w:r>
    </w:p>
    <w:p>
      <w:r>
        <w:rPr>
          <w:b/>
        </w:rPr>
        <w:t>E. 3.1.4</w:t>
      </w:r>
    </w:p>
    <w:p>
      <w:r>
        <w:t>Selon l'art. 89 al. 6, 1 ère phrase CP, si en raison d'une nouvelle infraction, les conditions d'une peine privative de liberté ferme sont réunies et que celle-ci entre en concours avec le solde d'une peine devenue exécutoire à la suite de la révocation de la libération conditionnelle, le juge prononce en vertu de l'art. 49 CP, une peine d'ensemble. Le juge doit ainsi fixer la peine conformément au principe de l'absorption (Asperationsprinzip), par opposition au principe du cumul (Kumulationsprinzip); concrètement,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(ATF 135 IV 146 consid. 2.4.1).</w:t>
      </w:r>
    </w:p>
    <w:p>
      <w:r>
        <w:rPr>
          <w:b/>
        </w:rPr>
        <w:t>E. 3.1.5</w:t>
      </w:r>
    </w:p>
    <w:p>
      <w:r>
        <w:t>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et les références citées). Pour que la circonstance atténuante invoquée puisse être prise en considération, il faut en outre qu'il existe une certaine proportionnalité entre les circonstances objectives, d'une part, et la réaction de l'auteur, d'autre part (TF 6B_622/2008 du 13 janvier 2009 consid. 8.1 ; TF 6B_517/2008 du 27 août 2008 consid. 5.3.2 ; CAPE 12 novembre 2019/355 consid. 8.2.3 et les références citées).</w:t>
      </w:r>
    </w:p>
    <w:p>
      <w:r>
        <w:rPr>
          <w:b/>
        </w:rPr>
        <w:t>E. 3.1.6</w:t>
      </w:r>
    </w:p>
    <w:p>
      <w:r>
        <w:t>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 CAPE 12 novembre 2019/355 consid. 8.2.3 et les références citées).</w:t>
      </w:r>
    </w:p>
    <w:p>
      <w:r>
        <w:rPr>
          <w:b/>
        </w:rPr>
        <w:t>E. 3.1.7</w:t>
      </w:r>
    </w:p>
    <w:p>
      <w:r>
        <w:t>Si le jugement doit être motivé, le juge indique dans les motifs les circonstances pertinentes pour la fixation de la peine et leur importance (art. 50 CP). Le condamné doit connaître les aspects pertinents qui ont été pris en considération et comment ils ont été appréciés. La motivation doit justifier la peine prononcée en permettant de suivre le raisonnement adopté (ATF 141 IV 244 consid. 1.2.2 p. 246 et les références citées). Cependant, le juge n'est pas tenu d'exprimer en chiffres ou en pourcentage l'importance qu'il accorde à chacun des éléments qu'il cite (ATF 142 IV 265 consid. 2.4.3 p. 271; ATF 136 IV 55 consid. 5.6 p. 61). Il peut également passer sous silence les éléments qui,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(ATF 127 IV 101 consid. 2c p. 104 s.; TF 6B_529/2017 du 18 juillet 2017 consid. 1.1).</w:t>
      </w:r>
    </w:p>
    <w:p>
      <w:r>
        <w:rPr>
          <w:b/>
        </w:rPr>
        <w:t>E. 3.2</w:t>
      </w:r>
    </w:p>
    <w:p>
      <w:r>
        <w:t>A titre préliminaire, on rappellera que les premiers juges n'étaient en aucune manière liés par la quotité de la peine infligée par le Ministère public de l'arrondissement du Nord vaudois dans son ordonnance pénale du 5 mars 2018. En effet, cette ordonnance a fait l'objet d'une opposition du Ministère public central au motif, précisément, que la peine prononcée apparaissait trop clémente (P. 18). Cette dernière n'incluait par ailleurs pas le solde de peine à purger ensuite de la révocation de la libération conditionnelle octroyée au prévenu le 19 mars 2018. Elle ne sanctionnait en outre qu'une partie des faits reprochés à l'appelant. Cette ordonnance n'a du reste pas servi de base à l'accusation engagée devant le Tribunal correctionnel (cf. acte d'accusation du 7 mai 2019). L'eût-elle été que la sanction prononcée n'aurait pas davantage lié les premiers juges (Moreillon/Parein-Reymond, Petit commentaire, Code de procédure pénale, 2e éd., Bâle 2016, n. 2 ad art. 356 CPP). A titre préliminaire toujours, on constatera également que les premiers juges ont clairement exposé les éléments qu'ils ont retenus à charge et à décharge et que conformément à la jurisprudence, ils n'étaient pas tenus d'exprimer en chiffres ou en pour cent l'importance qu'il accordait à chacun des éléments cités (cf. consid. 3.1.7. supra). Cela étant, l'appelant est condamné pour lésions corporelles simples qualifiées, vol, dommages la propriété, injure, menaces, violation de domicile, violence ou menaces contre les autorités et les fonctionnaires, infraction à la Loi fédérale sur les stupéfiants et contravention à la Loi fédération sur les stupéfiants. Comme l'ont relevé les premiers juges, il s'en est tout d'abord pris gratuitement à l'intégrité physique d'autrui. Le coup porté à la tête de [...] avec un pied-de-biche a été violent et aurait pu avoir des conséquences bien plus graves que celles finalement constatées (traumatisme crânien, plaie contuse, hématome, abrasions cutanées et douleurs au niveau des vertèbres cervicales). Alors même qu'il se savait faire l'objet d'une procédure pénale, l'appelant a continué à commettre des infractions en portant atteinte à la liberté, à l'honneur et au patrimoine d'autrui. Il n'a pas hésité non plus à s'en prendre à l'autorité publique. L'appelant a également mis en danger la santé d'autres consommateurs en leur vendant des produits stupéfiants. Il a en outre récidivé moins de deux mois après avoir été mis au bénéfice d'une libération conditionnelle. Cet enchaînement démontre l'intensité de la volonté délictuelle de l'appelant. Ses motifs sont à chaque fois futiles. On ne trouve pas d'autres explications à ses actes que son incapacité absolue à tolérer la moindre frustration et gérer son agressivité. L'appelant est totalement incapable de se maîtriser. Il ne respecte rien, ni personne. Au vu de ces différents éléments, sa faute doit être qualifiée de très lourde. On ne retiendra toutefois qu'une faute lourde compte tenu de la très légère diminution de responsabilité attestée par les experts en raison de la présence d'un trouble mixte la personnalité avec des traits dyssociaux et narcissiques ainsi qu'un syndrome de dépendance au cannabis (P. 65). A charge, il faut naturellement tenir compte des antécédents catastrophiques de l'appelant qui a déjà, en moins de 9 ans été condamné à 6 reprises en Suisse à des peines privatives de liberté cumulées de 7 ans et 2 mois pour des atteintes à l'autorité publique ainsi qu'au patrimoine, à la liberté, à l'intégrité physique et même à la vie d'autrui (cf. peine privative de liberté de 5 ans prononcée le 27 septembre 2012 par le Tribunal criminel du Littoral et du Val-de-travers pour complicité de meurtre). Son casier judiciaire français ne compte quant à lui pas moins de 13 condamnations sur une période d'à peine plus de 5 ans. On retiendra à charge également que durant sa détention, l'intéressé a encore fait l'objet de sanctions disciplinaires, les 1 er et 5 novembre 2019, pour consommation de produits prohibés, refus d'obtempérer et insoumission aux règlements et directives. A décharge, et quand bien même les experts ont relevé une absence de culpabilité et une pauvreté des regrets (P. 65 p. 11), il faut prendre en considération, à l'instar des premiers juges, les aveux quasi-complets de l'appelant, le fait qu'il s'est dénoncé lui-même pour certaines infractions (cf. cas 2.1 et 2.2 ci-dessus) ainsi que les excuses et regrets exprimés en cours de procédure préliminaire (cf. ses différents PV d'audition ; P. 48 et 50) et dans une moindre mesure aux débats (jugement p.</w:t>
      </w:r>
    </w:p>
    <w:p>
      <w:r>
        <w:rPr>
          <w:b/>
        </w:rPr>
        <w:t>E. 7</w:t>
      </w:r>
    </w:p>
    <w:p>
      <w:r>
        <w:t>ss) en espérant qu'ils ne soient pas de pure circonstance. Le seul fait de passer des aveux ou de manifester des remords ne suffit toutefois pas pour justifier l'application de l'art. 48 let. d CP (cf. consid. 3.1.6 supra). Il est par ailleurs évident que le fait de retrouver la caisse du chat devant la porte de sa chambre n'est pas de nature, pour le commun des mortels en tous les cas, à provoquer une émotion violente excusable au sens de l'art. 48 let. c CP. Enfin, il n'y a plus lieu de tenir compte ici de la jeunesse carencée de l'appelant dans la mesure où cet élément a déjà été pris en considération par les experts pour retenir une diminution très légère de responsabilité. En revanche, on pourra encore retenir à décharge que l'intéressé a signé une reconnaissance de dette en faveur de la Commune de[...] et qu'il a fait l'effort de prendre contact avec une association qui pourra l'aider à se réinsérer après sa sortie de prison, en lui cherchant une place en foyer, ainsi qu'une place de stage ou d'apprentissage. Au vu de ce qui précède, et en particulier des antécédents de l'appelant, seule une peine privative de liberté entre en ligne de compte pour sanctionner ses infractions de lésions corporelles simples qualifiées, vol, dommages la propriété, menaces, violation de domicile, violence ou menaces contre les autorités et les fonctionnaires ainsi que l'infraction à la Loi fédérale sur les stupéfiants. Ce n'est du reste pas contesté par l'appelant. Cela étant, ce dernier a été condamné par ordonnance pénale du 20 avril 2017 (P. 26) à une peine privative de liberté de 120 jours pour mauvais traitements infligés aux animaux (art. 26 al. 1 LPA ; Loi fédérale du 16 décembre 2005 sur la protection des animaux ; RS 455). L'ordonnance pénale retient en substance que l'appelant a violemment battu son chiot[...], un boxer âgé de 3 mois, qu'il l'a ensuite laissé agoniser durant 4 heures, grièvement blessé, avant de l'emmener chez un vétérinaire qui n'a rien pu faire d'autre que l'euthanasier. L'appelant doit aujourd'hui être sanctionné pour des infractions commises avant cette condamnation, soit des lésions corporelles simples qualifiées, des dommages la propriété et une violation de domicile (cas 2.1), des dommages à la propriété (cas 2.2) ainsi que des violences ou menace contre les autorités et les fonctionnaires (cas 2.3). Il faut donc fixer une peine complémentaire. Comme l'ont retenu les premiers juges, l'infraction la plus grave est celle de lésions corporelles simples qualifiées. Il n'y a à ce stade plus lieu de tenir compte du fait que cette infraction a été commise alors que l'appelant était sous l'emprise du cannabis dès lors que cette circonstance a déjà été prise en compte par les experts pour admettre une responsabilité pénale très légèrement diminuée. Par ailleurs, si l'acte d'accusation mentionne effectivement que l'appelant avait consommé de l'alcool avant les faits, l'existence d'un taux d'alcoolémie susceptible d'avoir une influence sur sa volonté n'est pas établie de sorte que cette consommation est sans incidence sur la fixation de la peine en lien avec ce délit. Au vu de ce qui précède et des éléments rappelés ci-dessus, l'infraction de lésions corporelles simples qualifiées doit être sanctionnée d'une peine privative de liberté de l'ordre de neuf mois. Cette peine doit être augmentée, par l'effet du concours, à hauteur d'environ deux mois pour les violences ou menace contre les autorités et les fonctionnaires, de deux mois pour les mauvais traitements aux animaux, d'un mois pour la violation de domicile, d'un mois également pour les dommages la propriété commis le 18 mars 2017 au détriment de [...] et d'un mois encore pour les dommages la propriété commis au détriment du magasin [...]. En d'autres termes, si l'appelant avait été jugé le 20 avril 2017 pour l'ensemble des infractions commises à cette date, il se serait vu infliger une peine de l'ordre de 16 mois. La peine complémentaire aurait ainsi pu être arrêtée à 12 mois. Celle de 11 mois retenue par les premiers juges se révèle donc clémente et ne prête en tous les cas pas le flanc à la critique. L'appelant doit encore être sanctionné pour des dommages à la propriété (cas 2.4), une infraction à la loi fédérale sur les stupéfiants (cas 2.5) des menaces (cas 2.6) un vol (cas 2.7) et des menaces (cas 2.8) commis après l'ordonnance pénale du 20 avril 2017. Les menaces préférées le 14 mai 2018 constituent l'infraction la plus grave. Elles doivent être, au vu des éléments rappelés ci-dessus, sanctionné par une peine privative de liberté de l'ordre de quatre mois. Cette peine d'être être augmentée, par l'effet du concours, à raison d'environ trois mois pour sanctionner l'infraction de vol, de trois mois pour les menaces préférées le 7 août 2018, de trois mois supplémentaires pour l'infraction à la Loi fédérale sur les stupéfiants et d'un mois encore pour les dommages à la propriété, ce qui représente une peine privative de liberté totale de 14 mois. La révocation de la libération conditionnelle accordée le 19 mars 2018 n'étant pas contestée, cette quotité doit encore être augmentée à concurrence d'environ un mois pour tenir compte du solde de peine d'un mois et dix-neuf jours résultant des condamnations du 9 mars 2015 et 20 avril 2017. En d'autres termes, la peine d'ensemble sanctionnant les infractions commises après l'ordonnance pénale du 20 avril 2017 et incluant le solde de peine résultant de la révocation de la libération conditionnelle aurait pu s'élever à 15 mois. Celle de 11 mois retenue par les premiers juges se révèle donc là aussi clémente et n'est ainsi pas contestable. En définitive, la peine privative de liberté globale de 22 mois prononcée par les premiers juges échappe à toute critique. Il n'y a ainsi pas lieu d'indemniser l'appelant pour une quelconque détention injustifiée. La peine pécuniaire de 30 jours-amende à 30 fr. le jour, ainsi que l'amende de 400 fr. substituable en 13 jours de détention en cas de non-paiement fautif, prononcées pour sanctionner respectivement l'injure et la contravention à la Loi fédérale sur les stupéfiants ne sont pas contestées. Vérifiées d'office, elles sont adéquates et peuvent dès lors être confirmées. Au vu de ce qui précède, il convient de rejeter l'appel qui s'avère en tous points mal fondé. 4. Conformément à l’art. 51 CP, la détention subie par l’appelant depuis le jugement de première instance doit être déduite. Pour garantir l’exécution de la peine privative de liberté, le maintien en exécution anticipée de peine de l’appelant doit en outre être ordonné (art. 236 al. 1 et 4 CPP; cf. not. CAPE 2 septembre 2019/247 consid. 9, CAPE 16 décembre 2019/416 consid. 4 et réf. ). 5. Sur la base de la liste d'opérations produite à l'audience, Me Métille, défenseur d'office du prévenu, a conclu à ce qu'un montant total de 3'309 fr. 12, pour 21 heures 10 de travail, comprenant une vacation, les débours forfaitaires et la TVA lui soit versé pour la procédure d'appel. Il réclame en particulier 14h30 au tarif de l'avocat-stagiaire, soit 6 heures de prise de connaissance du dossier, 8 heures de rédaction de l'appel et 30 minutes pour diverses opérations (téléphones, lettres). Dès lors que l'avocate-stagiaire défendait déjà le prévenu en première instance, on ne saurait lui accorder 6 heures pour la prise de connaissance du dossier, en sus des 8 heures consacrées à la rédaction de l'appel. Il convient donc de retrancher 6 heures de travail aux 14h30 réclamées pour l'avocate-stagiaire, ce qui donne un total de 8h30 à 110 fr. l'heure, soit un total d'honoraires de stagiaire de 935 francs. Me Métille réclame en outre 6 heures 40 d'honoraires au tarif de l'avocat breveté, incluant une audience d'une heure et demie. Pour tenir compte de la durée réelle de l'audience, il convient de retrancher une demi-heure à ce total. Ainsi, on prendra en considération 6h10 au tarif de l'avocat breveté de 180 fr. pour le travail de Me Métille, soit une somme de 1'110 francs. A ce total d'honoraires de 2'045 fr. (935 + 1'110 fr.) s'ajoutent une vacation à 120 fr. (2'165 fr.) plus les débours forfaitaires (2% ; 43 fr. 30) et la TVA de 7,7 % (170 fr., arrondi). Le total à allouer à Me Métille à titre d'indemnité de défenseur d'office pour la procédure d'appel est ainsi de 2'378 fr. 30  (soit 935 + 1'110 + 120 + 43,30 + 170). Vu l’issue de la cause, les frais de la procédure d'appel, constitués de l'émolument de jugement par 2'930 fr. (23 pages à 110 fr. plus 400 fr. d'audience ; art. 21 al. 1 et 2 TFIP [Tarif des frais de procédure et indemnités en matière pénale du 28 septembre 2010; BLV 312.03.1]) et de l'indemnité allouée à Me Métille, par 2'378 fr. 30, seront mis à la charge de l’appelant, qui succombe (art. 428 al. 1, 1 re phrase, CPP) L’appelant ne sera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