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200 vom 20. Januar 2020</w:t>
      </w:r>
    </w:p>
    <w:p>
      <w:r>
        <w:t>VD Tribunal cantonal, 2020-01-20, FR</w:t>
      </w:r>
    </w:p>
    <w:p>
      <w:r>
        <w:rPr>
          <w:b/>
        </w:rPr>
        <w:t xml:space="preserve">Quelle: </w:t>
      </w:r>
      <w:r>
        <w:t>https://mcp.opencaselaw.ch/entscheid/vd_findinfo_Jug___2020___200</w:t>
      </w:r>
    </w:p>
    <w:p>
      <w:r>
        <w:t>FR: VD_FINDINFO Jug / 2020 / 200 du 20 janvier 2020</w:t>
      </w:r>
    </w:p>
    <w:p>
      <w:r>
        <w:t>IT: VD_FINDINFO Jug / 2020 / 200 del 20 gennaio 2020</w:t>
      </w:r>
    </w:p>
    <w:p>
      <w:pPr>
        <w:pStyle w:val="Heading2"/>
      </w:pPr>
      <w:r>
        <w:t>Regeste</w:t>
      </w:r>
    </w:p>
    <w:p>
      <w:r>
        <w:t>APPROPRIATION ILLÉGITIME, PRINCIPE DE L'ACCUSATION, PLAINTE PÉNALE, LÉSÉ, DOMMAGES À LA PROPRIÉTÉ{DROIT PÉNAL}, VIOLATION DE DOMICILE, PRINCIPE DE LA BONNE FOI, FIXATION DE LA PEINE, RESPONSABILITÉ RESTREINTE{DROIT PÉNAL}, CONCOURS D'INFRACTIONS, POUVOIR DE REPRÉSENTATION, VOL{DROIT PÉNAL}, PAR MÉTIER | 137 CP, 144 CP, 172ter CP, 19 al. 2 CP, 30 al. 1 CP, 31 CP, 47 CP, 49 al. 1 CP, 49 al. 2 CP, 115 al. 1 CPP (CH), 325 al. 1 CPP (CH), 9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N.________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w:t>
      </w:r>
    </w:p>
    <w:p>
      <w:r>
        <w:rPr>
          <w:b/>
        </w:rPr>
        <w:t>E. 3.1</w:t>
      </w:r>
    </w:p>
    <w:p>
      <w:r>
        <w:t>L’appelant fait d’abord valoir que l’acte d’appropriation nécessaire pour retenir l’infraction d’appropriation illégitime au sens de l’art. 137 ch. 1 CP ne figurerait pas dans l’état de fait décrit par l’acte d’accusation à son chiffre 15, lequel n’évoquerait pas de dessein d’enrichissement illégitime, et que, dès lors, le raisonnement des premiers juges consacrerait une violation du principe d’accusation. Il devrait ainsi être acquitté du chef de prévention d’appropriation illégitime.</w:t>
      </w:r>
    </w:p>
    <w:p>
      <w:r>
        <w:rPr>
          <w:b/>
        </w:rPr>
        <w:t>E. 3.1.1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 e éd., Berne 2010, n. 11 ad art. 137 CP).</w:t>
      </w:r>
    </w:p>
    <w:p>
      <w:r>
        <w:rPr>
          <w:b/>
        </w:rPr>
        <w:t>E. 3.1.2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JdT 2015 IV 69 ; ATF 133 IV 235 consid. 6.3, JdT 2007 IV 119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JdT 2017 IV 351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3.1.3</w:t>
      </w:r>
    </w:p>
    <w:p>
      <w:r>
        <w:t>Le chiffre 15 de l’acte d’accusation, reproduit au point C.2.14 supra , a la teneur complète suivante : « 15. A Lausanne, rue [...], le 13 juin 2019 , N.________ a trouvé et conservé le porte-monnaie EASTPAK appartenant à Z.________ et contenant une carte d’identité et CHF 5.- en monnaie. (P. 57 – PV aud. 5) L’article 137 ch. 1 CP parait applicable au prévenu N.________ ». A cet égard, les premiers juges ont considéré que la poursuite pénale avait lieu d’office (art. 137 ch. 1 CP) et non sur plainte – non déposée en l’occurrence –, l’art. 137 ch. 2 CP n’étant pas applicable dès lors que l’auteur avait agi dans un dessein d’enrichissement en s’appropriant la monnaie et en la dépensant (jugement, pp. 20-21). On précisera que la carte d’identité a été retrouvée à l’occasion d’une perquisition de la police effectuée le 3 juillet 2019 (P. 63, 64 et 67) au domicile de la mère de l’appelant, auprès de laquelle ce dernier vivait. Le porte-monnaie se trouvait à part dans le sac du prévenu (PV aud. 5, R. 9 p. 4). Quant aux 5 fr., ils n’ont pas été retrouvés puisqu’ils ont été dépensés par N.________, ce que ce dernier reconnaît lui-même ( ibid. ; jugement, p. 7). Même si l’acte d’accusation utilise le verbe « conserver », il signifie dans le contexte de la phrase « garder pour soi », donc s’approprier. La durée de vingt jours entre la découverte de l’objet par l’auteur et celle de la carte d’identité lors de la perquisition, sans que l’appelant n’ait mis à profit ce délai pour restituer le porte-monnaie et son contenu, ainsi que la dispersion du porte-monnaie (dans le sac), de la carte d’identité (dans le logement) et de l’argent (volatilisé) excluent une volonté de restitution et établissent également la volonté d’appropriation. Tel que rédigé, l’acte d’accusation informait ainsi clairement le prévenu des faits qui lui étaient reprochés sans qu’il soit nécessaire de préciser qu’il avait dépensé les 5 fr., dès lors qu’il est parfaitement possible de s’approprier une somme d’argent sans la dépenser. Au demeurant, ces faits étaient bien présentés en droit comme tombant sous le coup de l’art. 137 ch. 1 CP et non de l’art. 137 ch. 2 CP. Il n’existe dès lors pas de violation de la maxime d’accusation et c’est à juste titre que le Tribunal correctionnel a retenu l’application de l’art. 137 ch. 1 CP. Le grief doit donc être rejeté.</w:t>
      </w:r>
    </w:p>
    <w:p>
      <w:r>
        <w:rPr>
          <w:b/>
        </w:rPr>
        <w:t>E. 3.2</w:t>
      </w:r>
    </w:p>
    <w:p>
      <w:r>
        <w:t>En deuxième lieu, l’appelant soutient que le Tribunal correctionnel aurait dû examiner l’application de l’art. 172ter CP, ce qui l’aurait conduit à la conclusion qu’en l’absence de plainte, aucune infraction ne pouvait lui être imputée.</w:t>
      </w:r>
    </w:p>
    <w:p>
      <w:r>
        <w:rPr>
          <w:b/>
        </w:rPr>
        <w:t>E. 3.2.1</w:t>
      </w:r>
    </w:p>
    <w:p>
      <w:r>
        <w:t>L’art. 172ter CP, concernant les infractions contre le patrimoine d’importance mineure, prévoit que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francs (ATF 123 IV 197 consid. 2a, JdT 1999 IV 66 ; ATF 123 IV 113 consid. 3f ; plus récemment, TF 6B_217/2012 du 20 juillet 2012 consid. 4.3).</w:t>
      </w:r>
    </w:p>
    <w:p>
      <w:r>
        <w:rPr>
          <w:b/>
        </w:rPr>
        <w:t>E. 3.2.2</w:t>
      </w:r>
    </w:p>
    <w:p>
      <w:r>
        <w:t>En s’emparant du porte-monnaie, l’appelant souhaitait un gain aussi important que possible cumulant la valeur du contenant et du contenu si bien que, dans son esprit, l’appropriation pouvait l'enrichir d'un montant supérieur à 300 francs. Il aurait en effet pu y avoir, dans ce porte-monnaie, une somme liquide supérieure à celle effectivement trouvée ainsi que, par exemple, des cartes de crédit, ce que l’appelant ne pouvait pas savoir au moment de s’en emparer. Sa volonté exclut dès lors l'application de l'art. 172ter CP, sans qu'il y ait besoin de déterminer, dans ce cadre, la valeur économique effective du porte-monnaie et de la carte d’identité. Ce deuxième moyen doit donc aussi être écarté.</w:t>
      </w:r>
    </w:p>
    <w:p>
      <w:r>
        <w:rPr>
          <w:b/>
        </w:rPr>
        <w:t>E. 4.1</w:t>
      </w:r>
    </w:p>
    <w:p>
      <w:r>
        <w:t>L’appelant conteste la validité des plaintes pénales déposées pour les cas figurant sous points C.2.4, C.2.6, C.2.8, C.2.10, C.2.11, C.2.15 et C.2.16 ci-dessus. Il soutient que le raisonnement du tribunal de première instance serait trop extensif et que tout employé, collaborateur ou familier d’un lésé ne saurait déposer valablement plainte sans ratification ultérieure par la personne légitimée à former un tel acte. Il en découlerait qu’il devrait être libéré des infractions de dommages à la propriété et de violation de domicile, poursuivies uniquement sur plainte, en ce qui concerne ces cas.</w:t>
      </w:r>
    </w:p>
    <w:p>
      <w:r>
        <w:rPr>
          <w:b/>
        </w:rPr>
        <w:t>E. 4.2</w:t>
      </w:r>
    </w:p>
    <w:p>
      <w:r>
        <w:t>Aux termes de l'art. 30 al. 1 CP, si une infraction n'est punie que sur plainte, toute personne lésée peut porter plainte contre l'auteur. Avec le dépôt d'une plainte, le lésé manifeste sa volonté inconditionnelle de voir l’auteur poursuivi pénalement (ATF 141 IV 380 consid. 2.3.4, JdT 2016 IV 178). Selon l'art. 31 CP, le droit de porter plainte se prescrit par trois mois. Le délai court du jour où l'ayant droit a connu l'auteur de l'infraction. Il est indispensable que le lésé personnellement, et non seulement son mandataire, ait connu l’infraction et l’auteur de celle-ci. Le délai pour déposer plainte ne commence donc pas à courir au moment où le représentant autorisé, qui est le seul à connaître l’auteur de l’infraction, porte plainte (ATF 130 IV 97 consid. 2.1, JdT 2006 IV 196 ; ATF 97 I 769 consid. 2). Une plainte déposée dans le délai de l’art. 31 CP peut toutefois être valable même si la procuration du représentant, respectivement la ratification des actes d’un représentant sans pouvoirs, n’a pas été produite dans le délai de trois mois (ATF 108 Ia 97 consid. 3b, JdT 1983 IV 124 ; ATF 106 IV 244 consid. 2, JdT 1982 IV 5). Le lésé est celui dont les droits ont été touchés directement par une infraction (art. 115 al. 1 CPP). Lorsque la norme protège un bien juridique individuel, la qualité de lésé appartient au titulaire de ce bien (ATF 138 IV 258 consid. 2.3, JdT 2013 IV 214 ; ATF 129 IV 95 consid. 3.1 ; ATF 126 IV 42 consid. 2a). Pour déterminer si une personne est lésée par une infraction, il convient d'interpréter le texte de la disposition pour savoir qui est le titulaire du bien juridique que celle-ci protège (ATF 118 IV 209 consid. 2, JdT 1994 IV 162 ; TF 6B_439/2016 du 21 avril 2017 consid. 2.1).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IV 167 consid. 1c ; ATF 112 IV 31 consid. 3, JdT 1986 IV 78).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31 consid. 3a). En matière de dommages à la propriété, l’art. 144 CP ne protège pas que le droit de propriété, mais aussi les droits d’usage détenus par d’autres personnes. La commission de l’infraction peut donc donner lieu à plainte de tout ayant droit privé de l’usage la chose (ATF 144 IV 49 consid. 1.2, JdT 2018 IV 231 ; TF 6B_1297/2017 du 26 juillet 2018 consid. 1.2.1 ; Dupuis et al. [éd.], Code pénal, Petit commentaire, 2 e éd., Bâle 2017, n. 9 ad art. 144 CP ; Monnier, in : Macaluso/Moreillon/Queloz [éd.], Commentaire romand, Code pénal II, Bâle 2017, n. 5 ad art. 144 CP).</w:t>
      </w:r>
    </w:p>
    <w:p>
      <w:r>
        <w:rPr>
          <w:b/>
        </w:rPr>
        <w:t>E. 4.3</w:t>
      </w:r>
    </w:p>
    <w:p>
      <w:r>
        <w:t>Les juges de première instance ont considéré pour le cas 9 de l’acte d’accusation (cf. C.2.8 supra ) (jugement p. 18) – et par extension de manière générale pour les autres cas – que la qualité pour déposer plainte devait être reconnue à un gérant dont la fonction au sein de l’entreprise lésée était de protéger les biens juridiques qui ont été atteints, ainsi qu’à tout ayant droit privé de l’usage de la chose endommagée par l’auteur ou à toute personne ayant la charge de sauvegarder le bien juridique en question. Ils ont sur cette base retenu que toutes les plaintes déposées l’avaient été valablement. Il faut distinguer deux questions en l’espèce, soit, d’une part, la qualité de lésé et, d’autre part, l’expression de la volonté de celui-ci par une personne autorisée. La première question n’est pas véritablement litigieuse, les lésés étant les personnes morales au nom desquelles les plaintes ont été déposées. La deuxième question est celle soulevée par l’appelant et il y a dès lors lieu de déterminer si les signataires des plaintes étaient autorisés par les lésés à agir comme représentants (cf. art. 33 CO [Code des obligations du 30 mars 1911 ; RS 220]) ou, à défaut, si les plaintes déposées sans pouvoir ont été ratifiées (cf. art. 38 CO). S’agissant du cas C.2.4, la plainte a été déposée par K.________, qui s’est légitimée en tant que gérante de la boutique D.________ (P. 26 et 27). Le magasin n’est pas inscrit au Registre du commerce ; la dénomination D.________ constitue donc une enseigne. Lors du dépôt de plainte, K.________ a communiqué son numéro de téléphone portable et son adresse e-mail personnels. Invitée durant la phase de la procédure d’appel à produire tout document attestant de sa capacité de déposer plainte pénale pour la société ou l’entreprise lésée – à l’instar de tous les autres signataires de plaintes dont la qualité pour déposer plainte a été contestée par l’appelant –, K.________ a indiqué qu’elle était propriétaire du magasin D.________ avec son époux [...] et qu’elle avait déposé plainte pénale en accord avec ce dernier. Ces informations sont suffisantes, dès lors qu’il apparaît qu’[...] était au courant de la plainte au moment où elle a été déposée et qu’en signant le courrier du 7 mai 2020 adressé à la Cour d’appel pénale, il a valablement ratifié le dépôt de cette plainte par son épouse. Une telle ratification n’a en effet pas besoin d’intervenir dans le délai de dépôt de plainte de trois mois. La plainte déposée par K.________ est donc valable et, en plus du vol par métier, N.________ doit donc être reconnu coupable de dommages à la propriété et de violation de domicile pour ce cas. S’agissant du cas C.2.6, Y.________ SA a retiré sa plainte au cours de la procédure d’appel. Il convient dès lors de prendre acte de ce retrait, qui implique la libération de l’appelant de chefs d’accusation de dommages à la propriété et de violation de domicile pour ce cas. S’agissant du cas C.2.8, la plainte a été déposée par L.________, assistant de vente immobilière, pour la société B.________ SA (P. 32). Celui-ci ne figure pas au Registre du commerce en tant que personne ayant la qualité pour signer (P. 100/1). Aux débats d’appel, L.________ a produit une procuration, non datée, signée par [...], administrateur avec signature individuelle de B.________ SA, l’autorisant à effectuer toutes les opérations nécessaires afin de représenter la société dans le cadre de la présente cause pénale (P. 128). Il a précisé que la procuration avait été établie la semaine précédente mais a confirmé que l’administrateur lui avait demandé de déposer plainte au nom de la société. Il a enfin confirmé, à la demande de la défense, que B.________ SA était locataire des locaux cambriolés. Ces informations sont là également suffisantes, les instructions de l’administrateur ayant été données oralement au moment de déposer la plainte et la procuration ne nécessitant pas d’être produite dans le délai de trois mois. La condamnation de l’appelant pour dommages à la propriété et tentative de violation de domicile, en plus du vol par métier, doit donc être confirmée. S’agissant du cas C.2.10, la plainte a été déposée par P.________, vendeuse, pour la société en nom collectif V.________ (P. 35), dont l’extrait du Registre du commerce mentionne [...] et [...] comme associés ayant la qualité pour signer (P. 100/2). [...] a toutefois signé un complément de plainte le 19 novembre 2018 (P. 36) pour préciser la nature et le volume des marchandises dérobées. Se référant au cambriolage, ce complément – qui, bien que non signé, est fondé sur l’envoi d’un courriel (cf. jugement, p. 19), ce qui apparaît suffisant – valide et approuve implicitement la première plainte. L’appelant doit ainsi être condamné pour dommages à la propriété et violation de domicile en sus du vol par métier. S’agissant du cas C.2.11, la plainte a été déposée par F.________, assistant gérance, pour le magasin A.________ (P. 33). Au cours de la procédure d’appel, celui-ci a reconnu qu’il n’avait pas qualité pour déposer plainte mais précisé qu’il était le seul présent le jour des faits. Il a ajouté que ses supérieurs avaient néanmoins été informés du dépôt de plainte. Ces informations apparaissent suffisantes pour tenir la plainte pour valablement déposée. En effet – et cela est valable pour l’ensemble des cas pour lesquels l’appelant conteste la validité des plaintes –, il faut tenir compte du contexte dans lequel les actes ont été déposés ; les cambriolages commis ont en effet impliqué un signalement immédiat à la police par la personne qui a découvert le forfait. La plainte a ensuite immédiatement été recueillie par les agents de police, lesquels ne sont souvent pas formés juridiquement pour identifier l’ayant droit habilité à agir au sein d’une entreprise lésée. Dans de telles circonstances, considérer que de tels actes seraient irrecevables serait contraire au principe de la bonne foi (art. 3 al. 2 CPP), ce d’autant qu’aucun ayant droit n’a contredit le dépôt de plainte et, partant, les instructions présumées données au collaborateur présent au moment des faits. La condamnation de N.________ pour dommages à la propriété et violation de domicile pour ce cas doit en définitive également être confirmée. S’agissant du cas C.2.15, la plainte a été déposée par C.________, administrateur, pour l’association T.________ (P. 59 et 60). Dans le cadre de la procédure d’appel, le directeur général du T.________ a confirmé qu’il avait été informé du vol du 3 juillet 2019 et qu’il avait mandaté son adjoint C.________ pour déposer plainte et l’avait autorisé à signer cet acte. La plainte est dès lors valable et la condamnation de l’appelant pour dommages à la propriété et violation de domicile doit être confirmée. S’agissant enfin du cas C.2.16, la plainte a été déposée par S.________, animatrice socio-culturelle, qui a signé, le 3 juillet 2019, le formulaire « Plainte et rapport de constat » complété à la main (P. 61, annexe), pour l’association E.________, dépendante de la Fondation [...]. Aux débats d’appel, S.________ a déclaré que les organes compétents de l’association et de la fondation avaient été informés du dépôt de plainte et l’avaient approuvée. Elle a en outre confirmé qu’E.________ était locataire des installations qui avaient été endommagées et dans lesquelles l’appelant avait pénétré illicitement. Au vu des règles applicables en la matière et de l’appréciation globale qui doit en être faite au vu des circonstances, la Cour estime là encore que ces informations sont suffisantes pour retenir la validité de la plaine pénale. La condamnation de l’appelant pour dommages à la propriété et violation de domicile en sus du vol sera donc confirmée. Enfin, il faut donner acte à l’appelant que le jugement contient des erreurs s’agissant des cas mentionnés sous points C.2.9 et C.2.18. En effet, si le tribunal de première instance a bien pris acte, au chiffre IX de son dispositif, du retrait de plainte de M.________ et d’I.________ SA, elle a néanmoins retenu que N.________ s’était rendu coupable de tentative de violation de domicile pour le cas C.2.9 et de dommages à la propriété pour le cas C.2.18 (jugement, p. 23), ce qui est inexact au vu des retraits de plainte intervenus. Ces erreurs n’ont toutefois aucune incidence sur le dispositif du jugement.</w:t>
      </w:r>
    </w:p>
    <w:p>
      <w:r>
        <w:rPr>
          <w:b/>
        </w:rPr>
        <w:t>E. 5.1</w:t>
      </w:r>
    </w:p>
    <w:p>
      <w:r>
        <w:t>L’appelant conteste la quotité de la peine privative de liberté fixée par les premiers juges, qu’il souhaite voir ramenée à 10 mois. Il ne conteste toutefois pas le genre de peine choisi, ni par ailleurs la quotité de l’amende prononcée pour sanctionner la contravention à la LStup. Il invoque la modicité de son butin, faisant valoir que sur dix-sept cas de vol par métier, sept ne lui auraient procuré aucun enrichissement. A décharge, il soutient qu’il faudrait aussi prendre en compte les reconnaissances de dette qu’il a signées en faveur de cinq plaignants. Enfin, la diminution, moyenne à importante, de sa responsabilité pénale devrait conduire à qualifier sa faute de légère à très légère.</w:t>
      </w:r>
    </w:p>
    <w:p>
      <w:r>
        <w:rPr>
          <w:b/>
        </w:rPr>
        <w:t>E. 5.2.1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5.2.2</w:t>
      </w:r>
    </w:p>
    <w:p>
      <w:r>
        <w:t>Aux termes de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JdT 2010 IV 127).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 ; TF 6B_1036/2017 du 24 août 2017 consid. 1.3).</w:t>
      </w:r>
    </w:p>
    <w:p>
      <w:r>
        <w:rPr>
          <w:b/>
        </w:rPr>
        <w:t>E. 5.3</w:t>
      </w:r>
    </w:p>
    <w:p>
      <w:r>
        <w:t>En l’espèce, tant l’expertise psychiatrique du 8 février 2018 (P. 5) que son complément du 30 avril 2019 (P. 50) retiennent une diminution moyenne à importante de la responsabilité pénale de l’appelant, au vu des diagnostics posés. On peut reprendre sans autre cette appréciation, qui n’est pas contestée. Les juges de première instance ont qualifié la culpabilité de N.________ d’importante, retenant ses récidives spéciales à charge. A décharge, ils ont tenu compte de sa bonne collaboration à l’enquête (jugement, p. 23). Cette appréciation est adéquate. S’agissant du butin, on précisera que l’appelant emportait ce qu’il trouvait, qui était facile à transporter et qui présentait une certaine valeur à la revente, tel que téléphones et ordinateurs portables, autres appareils électroniques, habits, chaussures, cigarettes ou produits en lien avec le tabac. On ne saurait donc retenir que son butin était insignifiant. Compte tenu de la diminution moyenne à importante de la responsabilité pénale de l’appelant, la faute objective, grave, doit être qualifiée en l’espèce de moyenne à légère. L’appelant doit être sanctionné par une peine privative de liberté pour dix-sept cas constitutifs de vol par métier (C.2.1, C.2.3 à C.2.13 et C.2.15 à C.2.19), dix cas constitutifs de dommages à la propriété (C.2.3 à C.2.5, C.2.8, C.2.10, C.2.11, C.2.13, C.2.15, C.2.16 et C.2.19), dix cas constitutifs de violation de domicile (C.2.3 à C.2.5, C.2.8, C.2.10, C.2.11, C.2.13, C.2.15, C.2.16 et C.2.19), dont un resté au stade de la tentative (C.2.8), et un cas constitutif d’appropriation illégitime (C.2.14). La condamnation prononcée le 28 octobre 2018 par le Ministère public de l’arrondissement de Lausanne est postérieure au premier vol qui doit être puni, lequel a été commis entre le 25 et le 26 octobre 2018 (C.2.1). On se trouve donc en présence d’un concours rétrospectif partiel. Il faut constater que si, au moment de rendre son ordonnance le 28 octobre 2018, le Procureur avait également eu à juger du vol des 25-26 octobre 2018, il aurait prononcé une peine privative de liberté de 150 jours au lieu de 90, tenant compte des antécédents du prévenu fondant des récidives spéciales et du degré de diminution de la responsabilité de ce dernier. La peine complémentaire est donc de 60 jours, soit 2 mois. L’ensemble des autres infractions à sanctionner est postérieur à la dernière condamnation de l’appelant. Il s’agit notamment de seize cas de vols par métier, étalés entre mi-novembre 2018 et mi-août 2019. Cette infraction de vol par métier est la plus grave, étant précisé que le concours réel entre les vols commis par métier durant la même période est exclu (ATF 116 IV 121 consid. 2b), le métier résultant précisément de l'accumulation des cas. Elle justifie le prononcé d’une peine privative de liberté qui devrait être fixée entre 15 et 20 mois en cas de pleine responsabilité. Au vu de la diminution de responsabilité, il se justifie de la réduire à 10 mois. Par l’effet du concours, il convient d’augmenter cette peine de 15 jours pour chacun des dix dommages à la propriété, de 15 jours aussi pour chacune des dix violations de domicile et, enfin, de 15 jours également pour l’appropriation illégitime, étant relevé qu’à pleine responsabilité, la peine aurait été de 23 à 30 jours pour chacune de ces infractions. La peine d’ensemble est donc de 20 mois et 15 jours. Cumulée avec la peine complémentaire de 2 mois, la peine privative de liberté, partiellement complémentaire à celle prononcée le 28 octobre 2018 par le Ministère public de l’arrondissement de Lausanne, devrait en définitive être fixée à 22 mois et 15 jours. Le Tribunal correctionnel a révoqué la libération conditionnelle accordée le 29 mars 2019 et ordonné l’exécution distincte d’un solde de peine de 9 jours (jugement, p. 24 et chiffre VIII du dispositif), décision que l’appelant ne conteste pas. Toutefois, l’art. 89 al. 6 CP prévoit qu’en cas de condamnation à une peine privative de liberté ferme, le juge des nouvelles infractions et de la révocation doit fixer une peine d’ensemble (ATF 137 IV 312, JdT 2012 IV 205). En l’occurrence, la peine d’ensemble devrait ainsi être arrêtée à 22 mois et 24 jours, mais l’interdiction de la reformatio in pejus impose d’en rester à la privation de liberté de 15 mois et 9 jours fixée en première instance. Le dispositif du jugement doit néanmoins être rectifié d’office dans le sens qui précède. Au vu de ce qui précède, les conclusions en indemnisation de la détention excessive prises par l’appelant à l’audience d’appel ne peuvent par ailleurs qu’être rejetées.</w:t>
      </w:r>
    </w:p>
    <w:p>
      <w:r>
        <w:rPr>
          <w:b/>
        </w:rPr>
        <w:t>E. 6</w:t>
      </w:r>
    </w:p>
    <w:p>
      <w:r>
        <w:t>Conformément à l’art. 51 CP, la détention subie par N.________ depuis le jugement de première instance sera déduite de la peine privative de liberté prononcée. Le maintien en détention pour des motifs de sûreté de l’appelant sera en outre ordonné pour garantir l’exécution de la peine prononcée, vu le risque de réitération qu’il présente (art. 221 al. 1 let. c CPP).</w:t>
      </w:r>
    </w:p>
    <w:p>
      <w:r>
        <w:rPr>
          <w:b/>
        </w:rPr>
        <w:t>E. 7</w:t>
      </w:r>
    </w:p>
    <w:p>
      <w:r>
        <w:t>En définitive, l’appel doit être très partiellement admis au vu de la libération de N.________ des infractions des violation de domicile et de dommages à la propriété en lien avec le cas mentionné sous point C.2.6 ci-dessus, vu le retrait de plainte d’Y.________ SA. Sur la base de la liste des opérations produite par Me Charlotte Iselin (P. 126), dont il n’y a pas lieu de s’écarter, une indemnité pour la procédure d'appel d'un montant de 2'164 fr. 45, correspondant à 7 heures et 30 minutes d’activité au tarif horaire d’avocat de 180 fr., par 1'350 fr., 3 heures et 30 minutes au tarif horaire d’avocat-stagiaire de 110 fr., par 385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34 fr. 70, deux vacations à 120 fr., par 240 fr., et la TVA, par 154 fr. 75, sera allouée au défenseur d’office de N.________. Vu l’issue de la cause, les frais de la procédure d’appel, par 5'834 fr. 45, constitués de l’émolument d’audience et de jugement, par 3'670 fr. (art. 21 al. 1 et 2 TFIP), ainsi que de l’indemnité allouée au défenseur d’office de l’appelant, par 2'164 fr. 45, seront mis par neuf dixièmes, soit par 5'251 fr., à la charge de N.________, qui succombe dans une très large mesure (art. 428 al. 1, 1 re phrase, CPP), le solde étant laissé à la charge de l’Etat. L’appelant ne sera toutefois tenu de rembourser à l’Etat les neuf dixièmes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