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193 vom 21. Januar 2020</w:t>
      </w:r>
    </w:p>
    <w:p>
      <w:r>
        <w:t>VD Tribunal cantonal, 2020-01-21, FR</w:t>
      </w:r>
    </w:p>
    <w:p>
      <w:r>
        <w:rPr>
          <w:b/>
        </w:rPr>
        <w:t xml:space="preserve">Quelle: </w:t>
      </w:r>
      <w:r>
        <w:t>https://mcp.opencaselaw.ch/entscheid/vd_findinfo_Jug___2020___193</w:t>
      </w:r>
    </w:p>
    <w:p>
      <w:r>
        <w:t>FR: VD_FINDINFO Jug / 2020 / 193 du 21 janvier 2020</w:t>
      </w:r>
    </w:p>
    <w:p>
      <w:r>
        <w:t>IT: VD_FINDINFO Jug / 2020 / 193 del 21 gennaio 2020</w:t>
      </w:r>
    </w:p>
    <w:p>
      <w:pPr>
        <w:pStyle w:val="Heading2"/>
      </w:pPr>
      <w:r>
        <w:t>Regeste</w:t>
      </w:r>
    </w:p>
    <w:p>
      <w:r>
        <w:t>INJURE, LÉSION CORPORELLE SIMPLE, CONSTATATION DES FAITS, FIXATION DE LA PEINE | 123 ch. 1 CP, 126 CP, 15 CP, 16 CP, 177 al. 2 CP, 47 CP, 48 let. c CP, 10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N.________ est recevable. La procédure écrite est applicable compte tenu de l’accord donné par les parties et les conditions de l’art. 406 al. 2 CPP étant remplies.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w:t>
      </w:r>
    </w:p>
    <w:p>
      <w:r>
        <w:t>L’appelant invoque une violation de la présomption d’innocence. Il reproche au premier juge d’avoir accordé davantage de crédibilité aux déclarations du plaignant, alors que celui-ci aurait menti en déclarant que le prévenu l’avait déjà insulté auparavant, dès lors qu’il l’avait recommandé à d’autres employeurs potentiels, ou qu’il lui louait une chambre gratuitement. Il conviendrait, au bénéfice du doute, de retenir que l’appelant n’a pas injurié le plaignant et que ce dernier a participé activement à la dispute, en poussant et en insultant N.________.</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Code de procédure pénale suisse, Commentaire romand, 2 e éd., Bâle 2019, n. 19 ad art. 398 CPP). 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ATF 143 IV 500 consid. 1.1;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op. cit.,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du 25 mars 2010 consid. 2.2.2).</w:t>
      </w:r>
    </w:p>
    <w:p>
      <w:r>
        <w:rPr>
          <w:b/>
        </w:rPr>
        <w:t>E. 3.2</w:t>
      </w:r>
    </w:p>
    <w:p>
      <w:r>
        <w:t>En l’espèce, avec le premier juge (cf. jugt. p. 15), il y a lieu de retenir la version constante du plaignant, corroborée par la vidéo produite s’agissant de l’injure et par les déclarations du témoin W.________ s’agissant des lésions corporelles, plutôt que celle du prévenu, qui a varié entre sa première audition et les suivantes et qui ne correspond pas aux éléments précités. Le fait que B.________ ait déclaré avoir déjà rencontré des problèmes avec N.________ et qu’il l’avait déjà insulté par le passé n’est aucunement de nature à remettre en cause la crédibilité du plaignant. Comme il l’a déclaré, c’est ensuite d’un premier épisode d’insultes qu’il a résilié le contrat de travail du prévenu pour la fin du mois de décembre 2017 (PV aud. 1, p. 2). Il a également expliqué pourquoi il n’a pas établi un certificat de travail défavorable à son employé, soit qu’il ne souhaitait pas le défavoriser sur le marché de l’emploi et parce qu’on lui avait toujours dit qu’un certificat de travail ne devait pas être en défaveur de l’employé (PV aud. 3, l. 60 ss). Ces explications sont crédibles et il faut bien plutôt les mettre au crédit de l’intimé, qui dénote de la bienveillance envers un employé qualifié de difficile à vivre, même par le témoin W.________ (PV aud. 4, l. 54 ss). Il n’y a d’ailleurs aucune raison – et l’appelant n’en invoque aucune qui soit convaincante – de douter des déclarations de cette dernière, qui a expliqué qu’elle avait entendu N.________ élever la voix dans la cuisine, que B.________ était ensuite venu en salle, que le prévenu avait couru derrière lui, qu’il avait commencé à pousser le plaignant hors de son poste de travail, puis l’avait saisi à la gorge, serré et secoué. Enfin, l’intimé ne dit pas qu’il hébergeait le prévenu gratuitement (cf. jugt., p. 6). C’est donc bien la version de B.________ qui doit être retenue, en ce sens que N.________ lui a à tout le moins dit « va fan culo », l’a poussé puis l’a saisi au cou avec ses deux mains. La version du prévenu selon laquelle il aurait été provoqué, insulté et violenté par son employeur avant qu’il ne le saisisse au cou pour se défendre et mettre fin à l’altercation n’est en revanche aucunement crédible, ni corroborée par un quelconque élément du dossier.</w:t>
      </w:r>
    </w:p>
    <w:p>
      <w:r>
        <w:rPr>
          <w:b/>
        </w:rPr>
        <w:t>E. 4</w:t>
      </w:r>
    </w:p>
    <w:p>
      <w:r>
        <w:t>S’agissant de l’infraction d’injure, l’appelant invoque une violation de l’art. 177 CP ( Code pénal du 21 décembre 1937; RS 311.0 ), en se prévalant toutefois à nouveau d’éléments factuels. Il soutient que le témoignage de W.________ ne pourrait pas être pris en compte dès lors qu’elle se trouvait dans la salle du restaurant au moment des faits et qu’elle ne comprendrait pas l’italien. Ce grief est vain dès lors que le premier juge n’a pas retenu ce témoignage pour retenir l’infraction d’injure (cf. jugt. p. 15). Comme exposé ci-avant, la version du plaignant doit être préférée à celle du prévenu et ce dernier reconnaît lui-même qu’il a adressé un « va fan culo » à l’attention du plaignant, ce qui ressort du reste de la vidéo produite, et qui constitue effectivement une injure (cf. TF 6B_794/2007 du 14 avril 2008). L’appelant soutient qu’il aurait dû être exempté de peine en application de l’art. 177 al. 2 CP, dès lors que ce mot aurait été prononcé dans le cadre d’une dispute qui aurait été initiée par le plaignant, qui l’aurait poussé et insulté. Il aurait ainsi réagi sous le coup de la colère et de l’excitation et n’aurait pas eu le temps de réfléchir à la portée de ses mots.</w:t>
      </w:r>
    </w:p>
    <w:p>
      <w:r>
        <w:rPr>
          <w:b/>
        </w:rPr>
        <w:t>E. 4.1</w:t>
      </w:r>
    </w:p>
    <w:p>
      <w:r>
        <w:t>Selon l'art. 177 CP, celui qui aura, par la parole, l’écriture, l’image, le geste ou par des voies de fait, attaqué autrui dans son honneur sera, sur plainte, puni d’une peine pécuniaire de nonante jours-amende au plus (al. 1). Le juge pourra exempter le délinquant de toute peine si l’injurié a directement provoqué l’injure par une conduite répréhensible (al. 2).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(ATF 117 IV 270 consid. 2c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 in fine). Il peut aussi se borner à atténuer cette dernière. Il dispose à cet égard d’un large pouvoir d’appréciation.</w:t>
      </w:r>
    </w:p>
    <w:p>
      <w:r>
        <w:rPr>
          <w:b/>
        </w:rPr>
        <w:t>E. 4.2</w:t>
      </w:r>
    </w:p>
    <w:p>
      <w:r>
        <w:t>En l’espèce, l’application de l’art. 177 al. 2 CP suppose que l’intimé ait provoqué l’injure par une conduite répréhensible. Or, compte tenu des faits retenus au consid. 3.2 ci-avant, on ne voit pas laquelle. Le plaignant a nié avoir adopté un comportement insultant ou provocateur envers N.________. Aucun élément ne laisse supposer que tel aurait été le cas. Au contraire, le témoignage de W.________ révèle que c’est l’appelant qui criait dans la cuisine, qui a suivi B.________ en salle et qui l’a agressé. Elle n’a pas entendu d’insulte. Le grief est dès lors infondé.</w:t>
      </w:r>
    </w:p>
    <w:p>
      <w:r>
        <w:rPr>
          <w:b/>
        </w:rPr>
        <w:t>E. 5</w:t>
      </w:r>
    </w:p>
    <w:p>
      <w:r>
        <w:t>L’appelant soutient ensuite qu’il devrait être libéré de l’infraction de lésions corporelles simples dès lors qu’il aurait agi en état de légitime défense, ou à tout le moins de défense excusable. Là encore, il aurait réagi à une dispute initiée par le plaignant, en le saisissant au cou pour se défendre, le calmer et ainsi mettre un terme à l’altercation. Si sa réaction devait néanmoins être jugée excessive, il y aurait selon lui de toute manière lieu de qualifier les faits de voies de fait et non de lésions corporelles simples. Le plaignant n’aurait eu que de légères marques de rougeur, pratiquement invisibles du côté droit, aurait reconnu n’avoir ressenti aucune douleur et aurait pu continuer à travailler.</w:t>
      </w:r>
    </w:p>
    <w:p>
      <w:r>
        <w:rPr>
          <w:b/>
        </w:rPr>
        <w:t>E. 5.1.1</w:t>
      </w:r>
    </w:p>
    <w:p>
      <w:r>
        <w:t>Selon l’art. 123 ch. 1 CP,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tuméfactions et rougeurs dans la région du sourcil et de l’oreille d’une grosseur d’environ 2 x 5 cm, et des douleurs à la palpation à la côte inférieure gauche,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notamment (Dupuis et alii [éd.], Petit commentaire Code pénal, 2 e éd., 2017, n. 10 ad art. 123 CP). La distinction entre lésions corporelles simples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(ATF 134 IV 189 consid. 1.3; ATF 119 IV 25 consid. 2a). Dans les cas limites, il faut tenir compte de l'importance de la douleur provoquée.</w:t>
      </w:r>
    </w:p>
    <w:p>
      <w:r>
        <w:rPr>
          <w:b/>
        </w:rPr>
        <w:t>E. 5.1.2</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notamment contre son partenaire hétérosexuel ou homosexuel pour autant qu'ils fassent ménage commun pour une durée indéterminée et que les atteintes aient été commises durant cette période ou dans l'année qui a suivi la séparation (al. 2, let. c).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w:t>
      </w:r>
    </w:p>
    <w:p>
      <w:r>
        <w:rPr>
          <w:b/>
        </w:rPr>
        <w:t>E. 5.1.3</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(ATF 136 IV 49 consid. 3.2).</w:t>
      </w:r>
    </w:p>
    <w:p>
      <w:r>
        <w:rPr>
          <w:b/>
        </w:rPr>
        <w:t>E. 5.1.4</w:t>
      </w:r>
    </w:p>
    <w:p>
      <w:r>
        <w:t>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ce qui conduit à son acquittement (ATF 101 IV 119; Dupuis et alii , op. cit., n. 11 ad art. 16 CP). Selon la jurisprudence, celui qui se défend n’encourt aucune peine si l'attaque est la seule cause ou la cause prépondérante de l'excitation ou du saisissement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davantage le degré d'émotion nécessaire. Il ne doit pas forcément atteindre celui d'une émotion violente au sens de l'art. 113 CP, mais doit revêtir une certaine importance. « Peur » ne signifie pas nécessairement « état de saisissement » au sens de l'art. 16 al. 2 CP (TF 6B_1015/2014 du 1 er juillet 2015 consid. 3.2; TF 6B_889/2013 du 17 février 2014 consid. 3.1). Il appartient au juge d'apprécier de cas en cas si le degré d'émotion était suffisamment marquant et de déterminer si la nature et les circonstances de l'attaque le rendaient excusable. Un individu surpris par une attaque totalement inattendue peut réagir sous l'effet d'un saisissement excusable (Dupuis et alii , op. cit., n. 8 ad art. 16 CP). Plus la réaction de celui qui se défend aura atteint ou menacé l'agresseur, plus le juge se montrera exigeant quant au degré d'excitation ou de saisissement nécessaire (ATF 102 IV 1 consid. 3b).</w:t>
      </w:r>
    </w:p>
    <w:p>
      <w:r>
        <w:rPr>
          <w:b/>
        </w:rPr>
        <w:t>E. 5.2</w:t>
      </w:r>
    </w:p>
    <w:p>
      <w:r>
        <w:t>En l’espèce, comme déjà exposé ci-avant, aucun élément au dossier – au contraire – ne permet de retenir que B.________ aurait provoqué ou lui-même agressé N.________. C’est donc en vain que ce dernier se prévaut des art. 15 et 16 CP. Quant à la qualification de l’acte commis par le prévenu, force est de constater que celui-ci dépasse largement la notion de ce qui n’est pas socialement toléré au sens de l’art. 126 CP. Bien que l’on se trouve dans un cas limite, il faut admettre que celui qui présente des marques de strangulation sur les deux côtés du cou encore visibles deux jours après les faits présente une lésions corporelle, à tout le moins dans les circonstances du cas d’espèce. Certes, l’intimé a dit n’avoir pas ressenti de douleur physique, ce qui constitue un critère d’appréciation important d’appréciation pour déterminer la limite entre lésions corporelles simples et voies de fait. Cela étant, W.________ a expliqué que lorsque N.________ tenait son employeur par le cou, ce dernier était sous le choc et était tout pâle, comme s’il était paralysé. L’intimé a en outre exposé dans sa plainte qu’il a été secoué psychiquement, ce que l’on peut comprendre, d’autant que les faits se sont déroulés dans son établissement, devant une autre employée et deux clients (PV aud. 1). Dans ces circonstances, on ne saurait parler d’un simple trouble passager et sans importance du sentiment de bien-être. La qualification juridique de lésions corporelles simples doit dès lors être confirmée.</w:t>
      </w:r>
    </w:p>
    <w:p>
      <w:r>
        <w:rPr>
          <w:b/>
        </w:rPr>
        <w:t>E. 6</w:t>
      </w:r>
    </w:p>
    <w:p>
      <w:r>
        <w:t>L’appelant a conclu à ce qu’aucune peine ne lui soit infligée, en lien avec les infractions dont il a demandé à être libéré. Subsidiairement, il a conclu à sa condamnation à une simple amende pour voies de fait. Il a en outre demandé à ce qu’il soit fait application de l’art. 48 let. c CP, dès lors qu’il aurait agi en proie à une émotion violente que les circonstances rendaient excusables, du fait de la dispute avec le plaignant et de la résiliation avec effet immédiat de son contrat de travail.</w:t>
      </w:r>
    </w:p>
    <w:p>
      <w:r>
        <w:rPr>
          <w:b/>
        </w:rPr>
        <w:t>E. 6.1.1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6.1.2</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ATF 107 IV 105 consid. 2b; CAPE 12 novembre 2019/355 consid. 8.2.3 et les références citées). Pour que la circonstance atténuante invoquée puisse être prise en considération, il faut en outre qu'il existe une certaine proportionnalité entre les circonstances objectives, d'une part, et la réaction de l'auteur, d'autre part (TF 6B_622/2008 du 13 janvier 2009 consid. 8.1; TF 6B_517/2008 du 27 août 2008 consid. 5.3.2; CAPE 12 novembre 2019/355 consid. 8.2.3 et les références citées).</w:t>
      </w:r>
    </w:p>
    <w:p>
      <w:r>
        <w:rPr>
          <w:b/>
        </w:rPr>
        <w:t>E. 6.2</w:t>
      </w:r>
    </w:p>
    <w:p>
      <w:r>
        <w:t>En l’espèce, l’appelant demande qu’aucune peine ne soit prononcée, respectivement à n’être condamné qu’à une amende, au seul motif qu’il a conclu à sa libération de toute infraction, subsidiairement à une qualification juridique différente des faits. Ces griefs doivent être rejetés, dès lors que sa condamnation pour lésions corporelles simples et injure est confirmée. Pour le surplus, vérifiée d'office, la peine de 30 jours-amende à 30 fr. et l’amende de 300 fr. prononcées à l'encontre de N.________, qui ne sont pas contestées dans leur quotité, ont été fixées conformément aux principes applicables. Elles sont adéquates et doivent être confirmées. On précisera en outre qu’au vu des faits retenus, il n’y a pas matière à appliquer l’art. 48 let. c CP, le comportement du plaignant n’étant pas de nature à avoir mis N.________ en proie à une émotion violente que les circonstances auraient rendu excusables.</w:t>
      </w:r>
    </w:p>
    <w:p>
      <w:r>
        <w:rPr>
          <w:b/>
        </w:rPr>
        <w:t>E. 7</w:t>
      </w:r>
    </w:p>
    <w:p>
      <w:r>
        <w:t>L’appelant, qui a succombé en première instance, s’est à juste titre vu condamné à assumer l’entier des frais de procédure, conformément à l’art. 426 al. 1 CPP, et n’avait dès lors pas droit à une indemnité pour ses frais de défense au sens de l’art. 429 CPP.</w:t>
      </w:r>
    </w:p>
    <w:p>
      <w:r>
        <w:rPr>
          <w:b/>
        </w:rPr>
        <w:t>E. 8</w:t>
      </w:r>
    </w:p>
    <w:p>
      <w:r>
        <w:t>Au vu de ce qui précède, l’appel doit être rejeté et le jugement entrepris confirmé. Vu l’issue de la cause, les frais de la procédure d'appel, par 1'540 fr., constitués en l’espèce du seul émolument de jugement (art. 21 al. 1 TFIP [Tarif des frais de procédure et indemnités en matière pénale du 28 septembre 2010; BLV 312.03.1]), seront mis à la charge de N.________, qui succombe (art. 428 al. 1 CPP). Il n’a ainsi pas droit à une indemnité au sens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