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182 vom 30. Oktober 2019</w:t>
      </w:r>
    </w:p>
    <w:p>
      <w:r>
        <w:t>VD Tribunal cantonal, 2019-10-30, FR</w:t>
      </w:r>
    </w:p>
    <w:p>
      <w:r>
        <w:rPr>
          <w:b/>
        </w:rPr>
        <w:t xml:space="preserve">Quelle: </w:t>
      </w:r>
      <w:r>
        <w:t>https://mcp.opencaselaw.ch/entscheid/vd_findinfo_Jug___2020___182</w:t>
      </w:r>
    </w:p>
    <w:p>
      <w:r>
        <w:t>FR: VD_FINDINFO Jug / 2020 / 182 du 30 octobre 2019</w:t>
      </w:r>
    </w:p>
    <w:p>
      <w:r>
        <w:t>IT: VD_FINDINFO Jug / 2020 / 182 del 30 ottobre 2019</w:t>
      </w:r>
    </w:p>
    <w:p>
      <w:pPr>
        <w:pStyle w:val="Heading2"/>
      </w:pPr>
      <w:r>
        <w:t>Regeste</w:t>
      </w:r>
    </w:p>
    <w:p>
      <w:r>
        <w:t>FAUX MATÉRIEL DANS LES TITRES, PLAINTE PÉNALE, DÉLAI, ESCROQUERIE, CONSTATATION DES FAITS, PRINCIPE DE L'ACCUSATION, FRAIS JUDICIAIRES | 146 al. 1 CP, 251 ch. 1 CP, 31 CP, 10 CPP (CH), 426 al. 2 CPP (CH)</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w:t>
      </w:r>
    </w:p>
    <w:p>
      <w:r>
        <w:rPr>
          <w:b/>
        </w:rPr>
        <w:t>E. 3.1</w:t>
      </w:r>
    </w:p>
    <w:p>
      <w:r>
        <w:t>L'appelante soutient que les versements retenus par les premiers juges pour fonder l'existence d'une infraction pénale ne résultent que du relevé produit par le plaignant et ne sont dès lors pas suffisamment établis. Elle fait en outre valoir que l'instruction n'a de toute manière pas permis d'individualiser les montants qui lui ont été versés suite à ses mensonges.</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 e éd., Bâle 2019, n. 19 ad art. 398 CPP).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 14 al. 2 Pacte ONU II,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3.3</w:t>
      </w:r>
    </w:p>
    <w:p>
      <w:r>
        <w:t>Le chiffre de l'acte d'accusation du 4 avril 2019 est rédigé de la manière suivante : « [...] [...], entre novembre 2016 et début 2018, X.________ a échafaudé un tissu de mensonges en déclarant notamment à son ami K.________ que : -              elle travaillerait chez [...], au service de comptabilité, mais que ses salaires seraient provisoirement saisis ; -              elle serait multimillionnaire mais que ses biens prétendument bloqués nécessiteraient d’importantes sommes d’argent pour lui être restitués ; -              elle serait atteinte du cancer de la trompe de Fallope. Sur cette base, elle a amené K.________ à lui remettre plusieurs dizaines de milliers de francs, pour un montant de 118'634 fr. 90 ainsi que deux véhicules ; un Audi S5 puis un Land Rover Evoque, dont seul l'Audi S5 a pu être récupéré. » S'agissant de la question particulière des montants remis – seule débattue en appel –, les premiers juges ont d'abord mentionné qu'au vu des éléments du dossier et des aveux de l'appelante, ils pouvaient retenir l'intégralité des faits retranscrits dans l'acte d'accusation (jugement, p. 35). Ils ont toutefois précisé – au stade de l'examen du droit – que les prêts dont l'affectation exacte ne pouvait pas être déterminée avec certitude ne seraient, au bénéfice du doute, pas retenus à la charge de l'appelante (jugement, pp. 38 et 41). On doit en conclure que le Tribunal correctionnel a en définitive considéré que les mensonges de l'appelante avaient conduit le plaignant à lui remettre les seules sommes listées en pages 37 et 38 du jugement, à savoir : -              800 fr. le 23 mai 2017 ; -              2'500 fr. le 2 juin 2017 ; -              1'500 fr. le 28 juin 2017 ; -              2'700 fr. le 28 juillet 2017 ; -              15'200 fr. le 8 septembre 2017 ; -              36'000 fr. le 19 janvier 2018 ; -              4'563 fr. (ou 3'900 euros) le 4 janvier 2018 et -              5'942 fr. 50 (ou 5'000 euros) le 16 février 2018, ce qui représente un total de 69'205 fr. 50. Cette appréciation ne prête pas le flanc à la critique. L'appelante a en effet admis avoir échafaudé un édifice de mensonges pour soutirer de l'argent à son compagnon (PV aud. 1 ; jugement, p. 4). Tous les montants retenus par les premiers juges figurent sur les relevés produits par le plaignant à l'appui de sa plainte du 12 avril 2018 (P. 5/1). Contrairement à ce qui est soutenu en appel, ces relevés suffisent pour établir la réalité de ces versements dans la mesure où l'appelante les a tous signés et a ainsi reconnu leur exactitude. Elle a du reste encore confirmé aux débats de première instance que ces relevés étaient corrects (jugement, p. 4). Il est vrai qu'elle a alors également précisé qu'une partie des montants listés par le plaignant ne lui avaient pas été remis suite à ses mensonges mais uniquement pour les besoins du ménage (jugement, p. 4). L'ampleur de certains montants retenus ainsi que les motifs de paiement indiqués au regard des sommes concernées (acompte pour voyage [...], montants destinés aux parents de l'appelante, règlement d'un solde de poursuites, liquidation d'une procédure pénale, versement en faveur de [...] ou libération de la voiture Range Rover Evoque bloquée à la douane) – motifs que l'appelante a validés par sa signature – permettent toutefois d'exclure avec certitude que les montants en cause aient été remis à l'appelante pour les besoins du ménage. Enfin, au cours de l'audience d'appel, X.________ a admis qu'en plus des sommes dévolues aux besoins du ménage, le plaignant lui avait remis en tout cas 75'000 fr., ce qui correspond à la somme retenue à quelques milliers de francs près. Il s'ensuit que les versements effectués à la suite des mensonges de l'appelante sont non seulement individualisés mais également établis sans l'ombre d'un doute. Le moyen doit donc être rejeté.</w:t>
      </w:r>
    </w:p>
    <w:p>
      <w:r>
        <w:rPr>
          <w:b/>
        </w:rPr>
        <w:t>E. 4.1</w:t>
      </w:r>
    </w:p>
    <w:p>
      <w:r>
        <w:t>L'appelante conteste sa condamnation pour escroquerie. Si elle admet avoir menti à son compagnon, elle fait valoir que son comportement n'était pas astucieux. Selon elle, le plaignant aurait pu vérifier les informations qu'elle lui transmettait et prendre les dispositions nécessaires pour éviter de se retrouver dans la situation qu'il dénonce. Elle soutient par ailleurs que son comportement ne serait pas non plus constitutif d'un abus de confiance.</w:t>
      </w:r>
    </w:p>
    <w:p>
      <w:r>
        <w:rPr>
          <w:b/>
        </w:rPr>
        <w:t>E. 4.2.1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L'escroquerie peut être commise par dol éventuel, lorsque l'auteur tient un gain pour possible et le veut pour le cas où il se réaliserait ( ATF 126 IV 165 consid. 4b ; TF 6B_1334/2016 du 8 août 2017 consid. 4.1).</w:t>
      </w:r>
    </w:p>
    <w:p>
      <w:r>
        <w:rPr>
          <w:b/>
        </w:rPr>
        <w:t>E. 4.2.2</w:t>
      </w:r>
    </w:p>
    <w:p>
      <w:r>
        <w:t>Commet un abus de confiance au sens de l’art.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 instructions reçues, en s’écartant de la destination fixée (ATF 129 IV 257 consid. 2.2.2).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Du point de vue subjectif, l'auteur doit avoir agi intentionnellement et dans un dessein d'enrichissement illégitime (ATF 133 IV 21 consid. 6.1.2). L'élément subjectif de l'infraction n'est toutefois pas donné en cas de capacité de restituer (« Ersatzbereitschaft »), par quoi l'on désigne l'état de l'auteur qui peut justifier d'avoir, dès lors que la créance était exigible, eu à tout moment la volonté et la possibilité de présenter l'équivalent des montants employés (ATF 118 IV 32 consid. 2a).</w:t>
      </w:r>
    </w:p>
    <w:p>
      <w:r>
        <w:rPr>
          <w:b/>
        </w:rPr>
        <w:t>E. 4.2.3</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 188 consid. 1.3 ; ATF 133 IV 235 consid. 6.3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6B_166/2017 du 16 novembre 2017 consid. 2.1).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4.3</w:t>
      </w:r>
    </w:p>
    <w:p>
      <w:r>
        <w:t>En l’espèce, il est manifeste qu’en affirmant faussement au plaignant qu’elle travaillait chez [...] mais que ses salaires étaient provisoirement saisis, qu’elle était multimillionnaire mais que ses biens étaient temporairement bloqués dans le cadre d’une procédure pénale et qu’elle était atteinte d’un cancer de la trompe de Fallope, l’appelante a volontairement trompé le plaignant dans le but de l’amener à lui remettre de l’argent ainsi qu’une voiture alors qu’elle savait n’avoir ni l’intention ni les moyens de les lui restituer. Il résulte par ailleurs de l’expertise réalisée par le Dr W.________ que l’appelante est capable de mentir avec un aplomb déconcertant (P. 13, pp. 10 ss), l’expert allant même jusqu’à parler de tendance au mensonge pathologique (ibidem, p. 19). L’appelante a par ailleurs concrètement démontré ses talents de dissimulatrice dans le cadre d’une affaire neuchâteloise où elle a notamment été condamnée pour avoir participé à une escroquerie portant sur près de 300'000 fr. au détriment de son ancien employeur dans le courant de l’année 2015 (P. 34/1). Il ne fait dès lors aucun doute que l’appelante a très certainement su se montrer très convaincante. On peut par ailleurs suivre les premiers juges lorsqu’ils soulignent que les faits se sont déroulés alors que les parties faisaient ménage commun et que, de manière générale, on ne peut pas attendre d’un partenaire de vie qu’il mette en doute les moindres déclarations de sa compagne et les vérifie à chaque fois. Cela étant, on ne doit pas perdre de vue non plus que le plaignant dispose d’une formation d’employé de commerce et d’économiste d’entreprise. Il possède en outre un diplôme ESCEA (anciennes Ecoles supérieures de cadres pour l'économie et l'administration) (jugement, p. 9). Agé de 51 ans, il gère actuellement des sociétés dans le domaine de [...] (P. 59). Il s’agit donc d’un homme instruit et expérimenté. Il ressort par ailleurs de ses propres déclarations que la relation qu’il entretenait avec l’appelante depuis le mois de décembre 2016 s’était détériorée dès le mois d’avril 2017 et qu’il souhaitait depuis lors y mettre un terme (P. 4, p. 2, ch. 3 ; jugement, p. 8). On ne peut donc pas considérer que les faits ont pris place dans le cadre d’une union stable et durable, empreinte de confiance réciproque. Si ces deux constats ne suffisent pas encore pour considérer que le plaignant aurait pu éviter de se laisser induire en erreur par les boniments de l’appelante, la tendance s’inverse clairement lorsqu’on parcourt les courriels que cette dernière lui a transmis entre le 27 juin et le</w:t>
      </w:r>
    </w:p>
    <w:p>
      <w:r>
        <w:rPr>
          <w:b/>
        </w:rPr>
        <w:t>E. 7</w:t>
      </w:r>
    </w:p>
    <w:p>
      <w:r>
        <w:t>septembre 2017 dans le but d’étayer ses mensonges (P. 5/2). Leur lecture est tout simplement édifiante. Bien que prétendument rédigés par des représentants de l’autorité ou des avocats, ces courriels sont en effet criblés de fautes d’orthographes. Les formulations choisies sont en outre fantaisistes et manifestement incompatibles avec la fonction de leurs auteurs apparents. On ne peut en effet pas concevoir qu’un avocat adresse à sa cliente des messages contenant les passages suivants : « … J’espère que vous trouverez la solution, Et d’ici là je vous souhaite bonne chance pour votre santé … » ; « … Comme prévu je vous envoie tous vos papiers pour le 15 août 2017 ! merci de rester courtoise envers moi !… » ; « … Merci d’arrêter d’harceler, malheureusement on peut pas faire plus vite ! … » ; « … Selon notre entretien téléphonique assez mouvementé, je vous prie de changer de ton envers moi ! … » ; « Je préfère pas vous avoir au téléphone, je n’ai pas de temps … » ; « Suite à notre entretien téléphonique, et votre acharnement pour un entretien : … ». Il est encore moins concevable qu’une secrétaire du Ministère public s’adresse en ces termes à un avocat : « … Il vous est remis la fin du dossier dès la fin de la semaine, des cité en objet, ainsi que l’inventaire des pièces et affaires de Madame X.________ à ce jour » ; « … Comme Madame la procureure vous l’a mentionnée, avant celon son téléphone, cela peux prendre jusqu’à fin août de la totalité de ces à ffaires (Madame X.________). Les banques seront débloqués dès la fin des 10 jours ouvrables de la fin de la date du 20 août ! Le reste vous sera remis en main propre avec votre cliente ! (prévoir un camion de déménagement, des plaques de garage), (aux frais de la justice). Le dossier vous sera envoyé le plus vite possible, malheureusement ce dossier est très important, et tous les éléments n’ont pas été signer par le ministère publique et là procureur et le procureur ! Merci de votre patience et attente ! » ; « Comme Madame la procureure vous l’a mentionnée, avant celon son téléphone, cela prend fin le 15 septembre 2017 Merci de voir avec votre cliente pour nous organiser ! N’oubliez pas que malgré la saisie de salaire il lui reste 9500.00 ! Pour la clôture ! Comme mentionnez chez votre cliente, le plus vite est le mieux ! Merci de votre patience et attente ! ». Il est enfin inimaginable qu’un juge s’exprime ainsi dans un courrier adressé à un avocat : « J’accuse réception de votre courrier recommandé du 04 septembre 2017, reçu ce jour, et y réponds comme suit dans le respect du délai que vous m’avez imparti. Le montant sera retiré directement de son compte postale : Montant : 15200.-. Les papiers vous seront remis le 12 septembre 2017, si cela est en ordre ! …» . Contrairement à ce qu’ont retenu les premiers juges, on ne saurait expliquer le contenu farfelu de ces messages par le fait que les courriels sont généralement rédigés avec moins de soin qu’un courrier ordinaire. Au vu de ce qui précède, il est évident que la seule lecture, même cursive, de ces courriels devait permettre à un lecteur du niveau socio-culturel du plaignant de réaliser qu’il était en présence de documents grossièrement falsifiés et ainsi suspecter l’existence d’une supercherie. Il est par ailleurs manifeste que dans un tel contexte et en dépit de toutes les explications que l’appelante a pu lui fournir, la réception de la lettre anonyme qui a été adressée au plaignant le 4 septembre 2017 (P. 5/3) et qui la dénonçait comme « une arnaqueuse professionnelle » qui ne travaillait pas, n’avait aucun revenu et se trouvait sous le coup d’une procédure pénale pour détournement d’argent, aurait encore dû accroître la méfiance du plaignant. En tout état de cause, le doute n’était définitivement plus permis depuis le 14 novembre 2017. A cette date, le plaignant a en effet eu la preuve des manigances de sa compagne puisque l’avocat [...] lui a alors clairement confirmé qu’il n’était pas l’auteur du courriel que l’appelante lui avait fait suivre le matin même et qu’aucun rendez-vous n’était prévu avec elle à son étude (P. 5/2). Il s'ensuit qu'à partir du 14 novembre 2017 en tout cas, l'erreur n’était plus permise et cela même si l’appelante a par la suite continué à mentir et cherché à apitoyer le plaignant en laissant ostensiblement traîner un faux journal intime rédigé pour continuer à l’amadouer. Si le plaignant a malgré tout choisi d’encore lui remettre de l’argent et des biens, il ne peut s’en prendre qu’à lui-même. Au vu de ce qui précède, seuls les faits antérieurs au 14 novembre 2017 tombent sous le coup de l’art. 146 CP, l’élément constitutif de l’astuce n’étant plus réalisé pour les faits postérieurs. Les faits retranscrits dans l’acte d’accusation ne mentionnent par ailleurs pas que les sommes et objets concernés auraient été confiés à l’appelante ni, a fortiori, dans quel but ils l’auraient été. Il s’ensuit qu’une condamnation pour abus de confiance, également envisagée par les premiers juges, serait clairement contraire au principe de l’accusation et n’entre dès lors pas en ligne de compte. 5. 5.1 L'appelante soutient que la plainte dirigée contre elle a été déposée tardivement. 5.2 Si l'infraction a été commise par un proche ou un familier, l'infraction ne sera poursuivie que sur plainte (art. 146 ch. 3 CP). Les proches d’une personne sont son conjoint, son partenaire enregistré, ses parents en ligne directe, ses frères et sœurs germains, consanguins ou utérins, ainsi que ses parents, frères et sœurs et enfants adoptifs (art. 110 al. 1 CP). Les familiers d’une personne sont ceux qui font ménage commun avec elle (art. 110 al. 2 CP). La notion de membres de la communauté domestique, comme celle de « proches », doit être interprétée restrictivement. Forment une communauté domestique deux ou plusieurs personnes qui mangent, vivent et dorment sous le même toit. La cohabitation doit s'inscrire dans la durée et s'entend a priori comme le désir de vivre ensemble de manière stable pour une durée indéterminée.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consid. 1.2, JdT 2015 IV 3 ; TF 6B_637/2012 du 21 janvier 2013 consid. 2.1). 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le lésé poursuivi pénalement (ATF 141 IV 380 consid. 2.3.4). 5.3 En l'espèce, il n’est pas contesté que les parties formaient un couple et qu’elles ont fait ménage commun de décembre 2016 à février 2018. Il s’agit donc de familiers au sens de l’art. 110 al. 2 CP. L’escroquerie ne se poursuit par conséquent que sur plainte. On a par ailleurs vu qu’à compter du 14 novembre 2017 au plus tard, le plaignant ne pouvait plus ignorer que sa compagne lui avait menti aux fins d’obtenir qu’il lui avance des biens et de l’argent. S’il souhaitait qu’elle soit poursuivie, il devait donc déposer une plainte contre elle dans les trois mois. Partant, la plainte déposée le 12 avril 2018 seulement (P. 5) l’a été tardivement. D'un point de vue strictement pénal, K.________ est ainsi forclos pour se plaindre d'une escroquerie commise à son détriment par l'appelante. Au vu de ce qui précède, l'appelante doit être libérée des infractions d'escroquerie et d'abus de confiance. 6. 6.1 L’appelante conteste sa condamnation pour faux dans les titres. 6.2 Selon l'art. 251 ch. 1 CP,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 La notion de titre utilisé par l'art. 251 CP est définie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Le faux intellectuel implique un mensonge écrit qualifié. Il ne sera admis que si une valeur probante accrue est accordée à un document et que le destinataire de ce document lui manifeste une confiance particulière (ATF 138 IV 209 consid. 5.3, JdT 2013 IV 179). Le courriel est apte à servir de moyen de preuve et sa falsification avant la transmission à un tiers constitue un faux matériel au sens strict. La falsification de courriels rédigés par des tiers touche à l'authenticité même des titres. Dans la mesure où ces agissements sont constitutifs de faux dans les titres au sens strict, la question de savoir si les courriels sont également mensongers dans leur contenu ne se pose plus (ATF 138 IV 209 consid. 5.3 et 5.4, JdT 2013 IV 179). Le faux dans les titres est une infraction intentionnelle. Le dol éventuel suffit (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 ATF 141 IV 369 consid. 7.4 ; ATF 138 IV 130 consid. 3.2.4 et les références citées). 6.3 Les premiers juges ont considéré que le faux journal intime mentionné au chiffre 3 de l'acte d'accusation ne pouvait être qualifié de faux au sens de l'art. 251 CP. Ils ont en revanche retenu que l'appelante avait confectionné des courriels censés émaner de deux avocats, d'un juge et d'une secrétaire du Ministère public et que dans la mesure où ces courriels mentionnaient un auteur apparent différent de l'auteur réel, ils devaient être qualifiés de faux matériels pour lesquels la condition de la force probante accrue n'était pas requise à la différence du faux intellectuel. La recourante ne conteste pas qu'elle a créé les courriels litigieux ni que ceux-ci constituent des faux matériels, mais elle soutient qu'ils ne constituent pas des titres au sens de l'art. 110 al. 4 CPP, car ils ne sont pas propres à prouver un fait ayant une portée juridique, respectivement n'ont aucune valeur probante, condition également nécessaire lorsqu'on se trouve face à un faux matériel. Il ressort toutefois de la jurisprudence susmentionnée qu'un courriel est apte à servir de moyen de preuve et que sa qualification avant la transmission à un tiers constitue un faux matériel au sens strict. La condamnation de l'appelante pour faux dans les titres doit par conséquent être confirmée.</w:t>
      </w:r>
    </w:p>
    <w:p>
      <w:r>
        <w:rPr>
          <w:b/>
        </w:rPr>
        <w:t>E. 7.1</w:t>
      </w:r>
    </w:p>
    <w:p>
      <w:r>
        <w:t>L'abandon du chef d'accusation d'escroquerie nécessite que la peine prononcée en première instance soit revue. L'appelante fait en tous les cas valoir que c'est une peine entièrement suspendue par le sursis qui devait être ordonnée, dès lors qu'elle ne fait plus l'objet d'une enquête pénale et que l'on ne peut affirmer de manière péremptoire que le pronostic est défavorable.</w:t>
      </w:r>
    </w:p>
    <w:p>
      <w:r>
        <w:rPr>
          <w:b/>
        </w:rPr>
        <w:t>E. 7.2.1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w:t>
      </w:r>
    </w:p>
    <w:p>
      <w:r>
        <w:rPr>
          <w:b/>
        </w:rPr>
        <w:t>E. 7.2.2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7.2.3</w:t>
      </w:r>
    </w:p>
    <w:p>
      <w:r>
        <w:t>Dans sa teneur en vigueur jusqu’au 31 décembre 2017,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en vigueur depuis le 1 er janvier 2018 (RO 2016 1249 ; FF 2012 4385), n’est pas plus favorable à la prévenue que l’ancienne. Le principe de la lex mitior (art. 2 al. 1 CP) ne trouve donc pas à s’appliquer.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7.3</w:t>
      </w:r>
    </w:p>
    <w:p>
      <w:r>
        <w:t>En l’espèce, la culpabilité de l’appelante est importante. Elle n’a en effet pas hésité à falsifier des documents à l’insu de leurs véritables auteurs dans le seul but de parvenir à soutirer de l’argent à celui qui était pourtant son compagnon de vie. Elle n’a été guidée que par l’appât du gain et sa volonté de financer un train de vie supérieur à ses moyens. Ses agissements se sont par ailleurs étendus sur plusieurs mois. A charge, il faut naturellement tenir compte de ses deux précédentes condamnations. A décharge, on tiendra compte de la pathologie mise en évidence par l’expert (troubles mixtes de la personnalité avec des traits hystériques, une certaine fragilité narcissique ainsi que des traits de la personnalité dyssociale et psychopathique) même si elle n’entraîne pas de diminution de responsabilité au sens de l’art. 19 CP. On retiendra également les aveux de l’appelante ainsi que le fait qu’elle semble désormais s’investir dans son traitement psychiatrique. Dans la mesure où les deux précédentes condamnations de l’appelante à des peines pécuniaires n’ont pas suffi à la dissuader de récidiver, une peine privative de liberté s’impose. L'expert W.________ a en outre indiqué que le traitement psychiatrique pouvait se faire de manière ambulatoire et pendant l'exécution d'une peine (P. 13, pp. 26-27). L’appelante a été condamnée le 3 juillet 2018 par le Tribunal régional du Littoral et du Val-de-Travers à une peine privative de liberté de 20 mois pour escroquerie et faux dans les titres. Les infractions réprimées par ce jugement – à savoir une escroquerie au détriment de son employeur portant sur 295'380 fr. 10, en utilisant des fausses factures, en établissant des faux relevés d'heures de travail et de frais et en falsifiant des courriels et une attestation de l’Office des poursuites de La Sarine – sont plus graves que celles qui font l’objet de la présente procédure. Si toutes les infractions n’avaient fait l’objet que d’un seul jugement, on peut considérer, au vu des éléments rappelés ci-dessus, que la peine de 20 mois prononcée par les juges neuchâtelois aurait été augmentée d'un mois pour sanctionner chaque faux dans les titres retenus dans la présente cause, soit de 4 mois au total. En définitive, c’est donc une peine complémentaire de 4 mois qu'il faut prononcer. Cette peine devra en revanche être ferme. En effet, comme mentionné ci-dessus, l’appelante a déjà été condamnée à deux reprises, dont une fois pour une infraction similaire, sans que cela ne suffise à la dissuader de récidiver. Le complément d’expertise réalisé par le Dr  W.________ le 28 février 2017 mettait déjà en évidence l’existence d’un risque de récidive (P. 14). Les faits lui ont donné raison puisque l’appelante a repris ses agissements délictueux et cela alors même qu’elle savait qu’une nouvelle procédure avait été ouverte contre elle dans le canton de Neuchâtel et qu’elle avait déjà subi 79 jours de détention provisoire. Le pronostic est donc clairement défavorable.</w:t>
      </w:r>
    </w:p>
    <w:p>
      <w:r>
        <w:rPr>
          <w:b/>
        </w:rPr>
        <w:t>E. 8.1</w:t>
      </w:r>
    </w:p>
    <w:p>
      <w:r>
        <w:t>L’abandon du chef d'accusation d'escroquerie pourrait impliquer une réforme de la décision de première instance sur la question des frais et des indemnités.</w:t>
      </w:r>
    </w:p>
    <w:p>
      <w:r>
        <w:rPr>
          <w:b/>
        </w:rPr>
        <w:t>E. 8.2</w:t>
      </w:r>
    </w:p>
    <w:p>
      <w:r>
        <w:t>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consid. 5.1.2 ; Fontana, Commentaire romand, Code de procédure pénale suisse, 2 e éd., Bâle 2019, n. 2 ad art. 426 CPP) – et a provoqué ainsi l'ouverture d'une enquête pénale ou compliqué celle-ci (ATF 116 Ia 162 consid. 2d et 2e ; TF 6B_87/2012 du 27 avril 2012 consid. 1.2). Seul un comportement fautif et contraire à une règle juridique, qui soit en relation de causalité avec les frais imputés, entre en ligne de compte (ATF 119 Ia 332 consid. 1b ; ATF 116 Ia 162 consid. 2c ; TF 6B_387/2009 du 20 octobre 2009 consid. 1.1 ; TF 6B_215/2009 du 23 juin 2009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consid. 5.1.2). En outre, le juge doit fonder sa décision sur des faits incontestés ou déjà clairement établis (ATF 112 Ia 371 consid. 2a ; TF 6B_87/2012 précité consid. 1.2). Sur la base de ces principes généraux, la jurisprudence admet la condamnation d'un prévenu acquitté à supporter tout ou partie des frais dans l’hypothèse où un dol au sens de l’art. 28 CO peut lui être reproché (TF 6B_998/2010 du 31 août 2011).</w:t>
      </w:r>
    </w:p>
    <w:p>
      <w:r>
        <w:rPr>
          <w:b/>
        </w:rPr>
        <w:t>E. 8.3</w:t>
      </w:r>
    </w:p>
    <w:p>
      <w:r>
        <w:t>En l’espèce, l’appelante reste condamnée pour faux dans les titres, de sorte que sa condamnation à supporter la part de frais relative à ces infractions n’est pas contestable. Il se justifie par ailleurs que la part en lien avec l’infraction d’escroquerie reste à sa charge également. En effet, si l’appelante n’a certes plus astucieusement trompé le plaignant au-delà de la date du 14 novembre 2017 et qu’elle ne peut être poursuivie pénalement pour ses agissements antérieurs en raison de la tardiveté de la plainte, elle n’en a pas moins admis avoir induit le plaignant à lui remettre de l’argent et une voiture par ses affirmations fallacieuses, contrevenant ainsi à l’art. 28 CO. Il s’ensuit que l’intégralité des frais de première instance peut être laissée à sa charge en dépit de sa libération du chef d’accusation d’escroquerie. Ce constat suffit pour exclure toute indemnité fondée sur l’art. 429 CPP – laquelle n’aurait de toute manière pas pu être allouée à l’appelante qui est défendue par un avocat d’office – et pour justifier l’allocation au plaignant d’une indemnité fondée sur l’art. 433 al. 1 let. b CPP, étant précisé que le montant arrêté en première instance n'est en soi pas contesté.</w:t>
      </w:r>
    </w:p>
    <w:p>
      <w:r>
        <w:rPr>
          <w:b/>
        </w:rPr>
        <w:t>E. 9</w:t>
      </w:r>
    </w:p>
    <w:p>
      <w:r>
        <w:t>En définitive, l'appel de X.________ doit être partiellement admis et le jugement entrepris réformé dans le sens des considérants qui précèdent. Me Elie Elkaim a produit une liste d'opérations indiquant 18,08 h d'activité. Il faut retrancher 1 h pour les opérations post-jugement et 5 h pour les opérations relatives à l'appel (« recherches juridiques » et « travail sur l'appel ») qui paraissent excessives. Il faut en revanche ajouter 2 h pour l'audience d'appel. Par conséquent, il sera retenu 14 h d'activité au tarif horaire de 180 fr., 120 fr. pour la vacation de l'audience d'appel et 2 % pour les débours forfaitaires, soit 50 fr. 40, de sorte que l'indemnité d'office est arrêtée à 2'897 fr. 55, TVA comprise. L'intimé K.________ requiert une indemnité pour les dépenses obligatoires occasionnées par la procédure d'appel. Me Monica Mitrea a produit une liste d'opérations indiquant 14 h 25 d'activité, à laquelle il faut ajouter 1 h pour l'audience d'appel dont la durée a été sous-évaluée. Au tarif horaire de 300 fr. (art. 26a al. 3 TFIP [Tarif des frais de procédure et indemnités en matière pénale du 28 septembre 2010 ; BLV 312.03.1]), le défraiement serait de 4'625 francs. Il faut ajouter les frais de déplacement par 175 fr. annoncés (art. 19 al. 1 TDC [Tarif des dépens en matière civile du 23 novembre 2010 ; BLV 270.11.6] par renvoi de l'art. 26a al. 6 TFIP) et 2 % forfaitaires pour les débours (art. 19 al. 2 TDC par renvoi de l'art. 26a al. 6 TFIP), soit 92 fr. 50, de sorte qu'une indemnisation totale s'élèverait à 5'269 fr. 20, TVA par 7,7 % incluse. Dès lors que l'intimé succombe sur l'infraction d'escroquerie mais gagne sur l'infraction de faux dans les titres et sur la requête de l'appelante tendant à l'octroi d'une indemnité à forme de l'art. 429 CPP, l'indemnité sera réduite de moitié. L'appelante devra donc verser la somme de 2'634 fr. 60 à l'intimé. Vu l’issue de la cause, les frais de la procédure d’appel, par 3'340 fr. (art. 21 al. 1 et 2 TFIP) et l'indemnité du défenseur d'office de l'appelante, par 2'897 fr. 55, soit au total 6'237 fr. 55, doivent être mis pour moitié à la charge de l'appelante, le solde étant laissé à la charge de l'Etat (art. 428 al. 1 CPP). L'appelante ne sera tenue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