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181 vom 13. September 2019</w:t>
      </w:r>
    </w:p>
    <w:p>
      <w:r>
        <w:t>VD Tribunal cantonal, 2019-09-13, FR</w:t>
      </w:r>
    </w:p>
    <w:p>
      <w:r>
        <w:rPr>
          <w:b/>
        </w:rPr>
        <w:t xml:space="preserve">Quelle: </w:t>
      </w:r>
      <w:r>
        <w:t>https://mcp.opencaselaw.ch/entscheid/vd_findinfo_Jug___2020___181</w:t>
      </w:r>
    </w:p>
    <w:p>
      <w:r>
        <w:t>FR: VD_FINDINFO Jug / 2020 / 181 du 13 septembre 2019</w:t>
      </w:r>
    </w:p>
    <w:p>
      <w:r>
        <w:t>IT: VD_FINDINFO Jug / 2020 / 181 del 13 settembre 2019</w:t>
      </w:r>
    </w:p>
    <w:p>
      <w:pPr>
        <w:pStyle w:val="Heading2"/>
      </w:pPr>
      <w:r>
        <w:t>Regeste</w:t>
      </w:r>
    </w:p>
    <w:p>
      <w:r>
        <w:t>LÉSION CORPORELLE SIMPLE, VIOLENCE CONTRE LES AUTORITÉS | 106 al. 2 CP, 123 ch. 1 CP, 285 ch. 1 CP, 42 al. 1 CP, 42 al. 4 CP</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Il en va de même de l’appel joint de V.________.</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Il ressort du procès-verbal de l'audience du Tribunal de police que "interpellé (…) en ouverture des débats, T.________ a confirmé ne pas avoir déposé plainte après son audition (…), lors de laquelle il n'a pas non plus indiqué son intention de se constituer partie plaignante." Le Ministère public reproche au premier juge d'avoir fait preuve de formalisme excessif en niant à T.________ la qualité de partie plaignante dans la procédure. Il se prévaut d'une violation du principe de la bonne foi. Il relève que sur le procès-verbal d'audition du brigadier, la case "PADRE-plainte" est cochée, que le statu de plaignant lui a été reconnu dans l'ordonnance pénale et par la Chambre des recours pénale dans un arrêt qu'elle a rendu et qui mentionne l'enquête ouverte "d'office" et sur plainte de T.________. Il fait valoir que ce dernier, s'il ne souhaitait pas cette qualité, en aurait fait part à la direction de la procédure, et n'avait pas de raison de déposer une plainte écrite après son "audition-plainte". Il a dès lors requis l'audition de T.________ pour que ce dernier puisse "apporter toute information utile à la cour s'agissant de sa constitution de partie plaignante". V.________ soutient quant à lui que c'est par erreur que le procès-verbal d'audition mentionne que T.________ est entendu comme plaignant car celui-ci n'aurait jamais fait une déclaration orale ou écrite dans ce sens, ni manifesté la volonté de participer à la procédure. Il fait valoir que le Ministère public aurait pu et dû attirer l'attention de l'intéressé sur son droit d'en faire une et ajoute que T.________ n'a pas protesté contre son éviction aux débats de première instance. Il requiert que le vice-président du Tribunal de police soit interpellé afin qu’il indique si T.________ avait déclaré ne pas avoir déposé de plainte pénale après son audition par le procureur.</w:t>
      </w:r>
    </w:p>
    <w:p>
      <w:r>
        <w:rPr>
          <w:b/>
        </w:rPr>
        <w:t>E. 3.1</w:t>
      </w:r>
    </w:p>
    <w:p>
      <w:r>
        <w:t>L'art. 104 al. 1 CPP dispose lors des débats ou dans la procédure de recours, le prévenu (let. a), la partie plaignante (let. b) et le ministère public (let. c) ont la qualité de partie. Aux termes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Les parties sont citées aux débats (art. 331 al. 4 CPP). Cela vaut pour les débats d'appel (art. 405 al. 1 CPP).</w:t>
      </w:r>
    </w:p>
    <w:p>
      <w:r>
        <w:rPr>
          <w:b/>
        </w:rPr>
        <w:t>E. 3.2</w:t>
      </w:r>
    </w:p>
    <w:p>
      <w:r>
        <w:t>En l'espèce, il ressort des pièces du dossier que – contrairement à son collègue [...] –T.________ été considéré comme un plaignant durant toute l'enquête. En effet, alors que son collègue était entendu uniquement comme personne appelée à donner des renseignements (PV aud. 1), T.________ a reçu le formulaire "droits et obligations de la personne appelée à donner des renseignements (PADR) de la partie plaignante (art. 178 CPP)". De plus, la case "PADR-plainte" du procès-verbal d'audition de T.________ est cochée (PV aud. 2) ce qui n'est pas le cas pour celle du procès-verbal d’audition de son collègue. La qualité de partie plaignante lui a en outre été reconnue en procédure : il a reçu l'ordonnance pénale, puis, ensuite d'opposition du prévenu, il a été convoqué aux débats du Tribunal de police en qualité de plaignant. Le dispositif du jugement lui a été notifié avec indication de la voie de l'appel. Ce n'est qu'à l'entrée des débats du 13 septembre 2019, soit plus de deux ans après les faits, que le défenseur du prévenu a interpellé le Tribunal de première instance qui a retenu que T.________ n'avait pas déposé plainte formellement. Interrogé sur sa volonté aux débats d'appel, T.________ a confirmé avoir eu l’intention d’être plaignant dans cette affaire, soit demandeur au pénal, sans toutefois avoir l'intention de formuler des conclusions civiles. Il a expliqué ne pas avoir l'intention de retirer sa plainte. Dans ces circonstances, il faut admettre qu'il a pu de bonne foi penser que le nécessaire avait été fait puisqu'il était considéré comme plaignant et qu'il n'avait pas à répéter plus formellement ou clairement qu'il déposait plainte ou se constituait partie plaignante. Il n'est pas nécessaire d'entendre le premier juge sur le point souhaité par l'intimé, non pertinent au vu de ce qui précède. La Cour de céans constate que T.________ n'est pas assisté et qu'en sa qualité de policier, il a certainement pour habitude d'obéir aux ordres de l'autorité. A l'audience d'appel, T.________ a expliqué ne pas avoir réagi tellement il avait été abasourdi. On ne peut ainsi lui reprocher de ne pas avoir réagi lorsqu'il a été prié par le premier juge de quitter la salle d'audience pour être réentendu en qualité de témoin. De même, on ne peut conclure qu'il se serait désintéressé de la procédure, le fait qu'il n'ait pas interjeté appel contre le jugement du Tribunal de police n'étant pas déterminant puisque le Ministère public l'avait fait s'agissant d'un point le concernant directement. Compte tenu de l'ensemble de ces éléments, il y a lieu d'admettre la qualité de partie plaignante de T.________. L'appel du Ministère public est bien fondé sur ce point.</w:t>
      </w:r>
    </w:p>
    <w:p>
      <w:r>
        <w:rPr>
          <w:b/>
        </w:rPr>
        <w:t>E. 4</w:t>
      </w:r>
    </w:p>
    <w:p>
      <w:r>
        <w:t>Le Ministère public soutient que, si la qualité de plaignant de T.________ est admise, V.________ doit être reconnu coupable de lésions corporelles simples et non de simples voies de fait comme également envisagé par le premier juge. L'intimé ne conteste pas la qualification mais soutient qu'il n'a pas volontairement frappé le policier. Il explique avoir agi involontairement, en faisant un geste brusque pour se dégager. Se référant à des articles de presse produits en première instance, il fait valoir que le comportement de certains membres de la gendarmerie met en doute la crédibilité de ses membres. Il faudrait donc lui accorder le bénéfice du doute.</w:t>
      </w:r>
    </w:p>
    <w:p>
      <w:r>
        <w:rPr>
          <w:b/>
        </w:rPr>
        <w:t>E. 4.1.1</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w:t>
      </w:r>
    </w:p>
    <w:p>
      <w:r>
        <w:rPr>
          <w:b/>
        </w:rPr>
        <w:t>E. 4.1.2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(Kistler Vianin, in : Jeanneret/Kuhn/Perrier Depeursinge [éd.], Code de procédure pénale suisse, Commentaire romand, 2 e éd., Bâle 2019, n. 19 ad art. 398 CPP).</w:t>
      </w:r>
    </w:p>
    <w:p>
      <w:r>
        <w:rPr>
          <w:b/>
        </w:rPr>
        <w:t>E. 4.2</w:t>
      </w:r>
    </w:p>
    <w:p>
      <w:r>
        <w:t>V.________ a donné non pas un mais deux coups. Le brigadier T.________ était un peu sonné. Il a eu un traumatisme crânien qui témoigne de la violence des coups. Le prévenu s'est aussi approché agressivement de [...]. Il était sous l'effet de la boisson et les policiers ont dû se mettre à deux pour le maîtriser tant il était agité. Après son interpellation V.________ a simulé un malaise cardiaque, fait qu'il a admis. C'est donc lui qui n'est pas crédible. Compte tenu de ce qui précède, c'est à juste titre que le premier juge a préféré la version des policiers à celle de V.________. Le certificat médical produit par le plaignant indique que ce dernier a souffert d'un traumatisme crânien simple et de contusion à la mandibule gauche (annexe au PV aud. 2). Partant, la qualification de lésions corporelles simples doit être retenue.</w:t>
      </w:r>
    </w:p>
    <w:p>
      <w:r>
        <w:rPr>
          <w:b/>
        </w:rPr>
        <w:t>E. 5</w:t>
      </w:r>
    </w:p>
    <w:p>
      <w:r>
        <w:t>Indépendamment de l'ajout éventuel d'une infraction, le Ministère public fait valoir que la peine prononcée, à savoir une peine pécuniaire de 50 jours-amende de 150 fr. le jour en sus d'une amende de 1'500 fr., est trop clémente. Il relève que la directive publique du Procureur général préconise 120 jours-amende pour l'infraction de violence ou menace contre les autorités et les fonctionnaires. Le concours avec les lésions corporelles commanderait d'augmenter la peine principale à 150 jours-amende et, dans la foulée, la sanction immédiate à 6'000 francs. L'intimé estime cette argumentation "surréaliste", la directive dont se prévaut le Parquet ne reposant sur aucune base légale et étant postérieure aux faits qui lui sont reprochés. Il soutient une nouvelle fois n'avoir agi que pour un mobile honorable "face au refus incompréhensible du policier de l'entendre", savoir pour se dégager, dans le but de montrer un document au policier concernant l'état de santé psychique de son épouse, pour laquelle il se faisait du souci.</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5.1.2</w:t>
      </w:r>
    </w:p>
    <w:p>
      <w:r>
        <w:t>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consid. 6.1 ; TF 6B_709/2013 consid. 2).</w:t>
      </w:r>
    </w:p>
    <w:p>
      <w:r>
        <w:rPr>
          <w:b/>
        </w:rPr>
        <w:t>E. 5.1.3</w:t>
      </w:r>
    </w:p>
    <w:p>
      <w:r>
        <w:t>Conformément à l'art. 48 let. a ch. 1 CP, le juge atténue la peine si l'auteur a agi en cédant un mobile honorable. Le caractère honorable des mobiles s'apprécie d'après l'échelle des valeurs éthiques reconnues par la collectivité dans son ensemble (ATF 101 IV 387 consid. 2b).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w:t>
      </w:r>
    </w:p>
    <w:p>
      <w:r>
        <w:rPr>
          <w:b/>
        </w:rPr>
        <w:t>E. 5.2</w:t>
      </w:r>
    </w:p>
    <w:p>
      <w:r>
        <w:t>En l'espèce, les agents sont intervenus à la suite d'une dispute entre V.________ et son épouse. Le policier [...] discutait avec cette dernière qui n'était pas en danger immédiat. L’intimé aurait parfaitement pu se calmer, obéir aux injonctions du plaignant et lui expliquer ce qu'il voulait. Il n'y a pas de « mobile honorable » chez V.________. Il est évident que la directive du Procureur général n'est pas contraignante pour le juge. Elle a seulement pour but de donner une "direction" permettant d'assurer une certaine égalité de traitement entre prévenus. En l'occurrence, il convient de retenir que V.________ était ivre qu'il s'agit d'un cas unique de violence dans son parcours et qu'il a, dans un premier temps, accepté le jugement rendu contre lui. L'intimé étant reconnu coupable de lésions corporelles simples (cf. consid. 5.2 supra), il convient de prononcer une peine tenant compte du concours d'infractions entre la violence ou menace contre les autorités et les fonctionnaires et les lésions corporelles simples. L'infraction la plus grave, la première, justifie une peine pécuniaire de 50 jours-amende, à laquelle il convient d'ajouter 30 jours-amende pour les lésions corporelles simples. C'est ainsi une peine pécuniaire de 80 jours-amende à 150 fr. le jour qui doit sanctionner le comportement de V.________. La peine étant assortie du sursis pendant trois ans, il apparaît adéquat de lui infliger une amende de 2'400 fr. – la peine privative de liberté de substitution étant de 16 jours – à titre de sanction immédiate.</w:t>
      </w:r>
    </w:p>
    <w:p>
      <w:r>
        <w:rPr>
          <w:b/>
        </w:rPr>
        <w:t>E. 6</w:t>
      </w:r>
    </w:p>
    <w:p>
      <w:r>
        <w:t>Dans son appel joint, le prévenu fait valoir qu'il a obtenu gain de cause ensuite de son opposition et que les frais du Tribunal de police n'auraient dès lors pas dû être mis à sa charge.</w:t>
      </w:r>
    </w:p>
    <w:p>
      <w:r>
        <w:rPr>
          <w:b/>
        </w:rPr>
        <w:t>E. 6.1</w:t>
      </w:r>
    </w:p>
    <w:p>
      <w:r>
        <w:t>L'art. 426 al. 1 CPP dispose que le prévenu supporte les frais de procédure s'il est condamné.</w:t>
      </w:r>
    </w:p>
    <w:p>
      <w:r>
        <w:rPr>
          <w:b/>
        </w:rPr>
        <w:t>E. 6.2</w:t>
      </w:r>
    </w:p>
    <w:p>
      <w:r>
        <w:t>Il est vrai que le prévenu avait été libéré d'une qualification pour un motif formel, mais pas des faits qui lui sont reprochés. De plus, il s'avère que l'abandon de ce chef d'accusation était infondé. Par conséquent, c'est à juste titre que le prévenu a été astreint au paiement des frais de première instance.</w:t>
      </w:r>
    </w:p>
    <w:p>
      <w:r>
        <w:rPr>
          <w:b/>
        </w:rPr>
        <w:t>E. 7</w:t>
      </w:r>
    </w:p>
    <w:p>
      <w:r>
        <w:t>En définitive, l'appel joint de V.________ est rejeté. L’appel du Ministère public est partiellement admis en ce sens que la qualité de partie plaignante est reconnue à T.________ et que V.________ est reconnu coupable de lésions corporelles simples et violence ou menace contre les autorités et les fonctionnaires et condamné à une peine pécuniaire de 80 jours-amende à 150 fr. le jour, assortie du sursis pendant trois ans. À titre de sanction immédiate, V.________ est également condamné à une amende de 2'400 fr., la peine privative de liberté de substitution étant fixée à 16 jours. Le jugement entrepris est confirmé pour le surplus. Vu l’issue de la cause, les frais de la procédure d’appel, par 2'050 fr. (art. 21 al. 1 et 2 TFIP [Tarif des frais de procédure et indemnités en matière pénale du 28 septembre 2010; BLV 312.03.1]), seront mis à la charge de V.________, qui succombe dans la mesure où son appel joint est rejeté et où il a conclu à l'irrecevabilité, subsidiairement au rejet de l'appel du Ministère public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