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178 vom 15. Mai 2020</w:t>
      </w:r>
    </w:p>
    <w:p>
      <w:r>
        <w:t>VD Tribunal cantonal, 2020-05-15, FR</w:t>
      </w:r>
    </w:p>
    <w:p>
      <w:r>
        <w:rPr>
          <w:b/>
        </w:rPr>
        <w:t xml:space="preserve">Quelle: </w:t>
      </w:r>
      <w:r>
        <w:t>https://mcp.opencaselaw.ch/entscheid/vd_findinfo_Jug___2020___178</w:t>
      </w:r>
    </w:p>
    <w:p>
      <w:r>
        <w:t>FR: VD_FINDINFO Jug / 2020 / 178 du 15 mai 2020</w:t>
      </w:r>
    </w:p>
    <w:p>
      <w:r>
        <w:t>IT: VD_FINDINFO Jug / 2020 / 178 del 15 maggio 2020</w:t>
      </w:r>
    </w:p>
    <w:p>
      <w:pPr>
        <w:pStyle w:val="Heading2"/>
      </w:pPr>
      <w:r>
        <w:t>Regeste</w:t>
      </w:r>
    </w:p>
    <w:p>
      <w:r>
        <w:t>DÉTENTION{INCARCÉRATION}, DÉTENTION POUR DES MOTIFS DE SÛRETÉ, RISQUE DE RÉCIDIVE, ACTE D'ORDRE SEXUEL AVEC UN ENFANT, INTÉGRITÉ SEXUELLE, INFRACTIONS CONTRE L'INTÉGRITÉ SEXUELLE, SURSIS PARTIEL À L'EXÉCUTION DE LA PEINE | 212 al. 3 CPP (CH), 221 al. 1 let. c CPP (CH), 233 CPP (CH)</w:t>
      </w:r>
    </w:p>
    <w:p>
      <w:pPr>
        <w:pStyle w:val="Heading2"/>
      </w:pPr>
      <w:r>
        <w:t>Erwägungen</w:t>
      </w:r>
    </w:p>
    <w:p>
      <w:r>
        <w:rPr>
          <w:b/>
        </w:rPr>
        <w:t>E. 1.1</w:t>
      </w:r>
    </w:p>
    <w:p>
      <w:r>
        <w:t>Dès que la juridiction d'appel est saisie (art. 399 al. 2 CPP),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1.2</w:t>
      </w:r>
    </w:p>
    <w:p>
      <w:r>
        <w:t>En l’espèce, T.________ a sollicité sa libération durant la procédure d’appel, de sorte que sa demande est recevable.</w:t>
      </w:r>
    </w:p>
    <w:p>
      <w:r>
        <w:rPr>
          <w:b/>
        </w:rPr>
        <w:t>E. 2.1</w:t>
      </w:r>
    </w:p>
    <w:p>
      <w:r>
        <w:t>Le requérant ne conteste pas l’existence de sérieux soupçons de culpabilité. Il conteste en revanche l’existence d’un risque de récidive. A cet égard, il fait valoir qu’il n’aurait aucune intention de rentrer en contact avec les parties plaignantes et que les mesures prononcées par le juge civil garantiraient son éloignement de ces dernières.</w:t>
      </w:r>
    </w:p>
    <w:p>
      <w:r>
        <w:rPr>
          <w:b/>
        </w:rPr>
        <w:t>E. 2.2</w:t>
      </w:r>
    </w:p>
    <w:p>
      <w:r>
        <w:t>Selon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w:t>
      </w:r>
    </w:p>
    <w:p>
      <w:r>
        <w:rPr>
          <w:b/>
        </w:rPr>
        <w:t>E. 2.3</w:t>
      </w:r>
    </w:p>
    <w:p>
      <w:r>
        <w:t>En l’espèce, il ressort de l’expertise psychiatrique du 27 janvier 2019 que le prévenu présente un risque de récidive de faits similaires, à savoir d’actes d’abus sexuels sur un mineur ou sur une personne incapable de donner son consentement, évalué comme modéré (P. 65/2, p. 13). L’expert a en particulier relevé que le requérant a des difficultés à réguler sa sexualité ( ibidem ), qu’il vit une sexualité désorganisée, tendant à reproduire un climat de permissivité et qu’il peine à refreiner ses pulsions (P. 65/2, p. 10). Le recourant n’a pas non plus nié avoir eu des érections alors que sa fille lui faisait des câlins, minimisant ces faits, en comparant cette situation avec la présence d’une jolie fille ( ibidem ) et présentant sa fille comme « avide sexuellement » et « hyper développée » (P. 65/2, pp 6 et 10), malgré son très jeune âge. On rappelle encore que le prévenu a déclaré qu’il lui arrivait d’aborder spontanément des jeunes filles mineures, dans le bus par exemple, et qu’il aimait beaucoup entrer en contact avec n’importe qui, dans n’importe quel contexte, et faire des compliments (PV aud. 2, R. 20, p. 13). Ces différents éléments – que le requérant ne discute pas, alors même qu’ils ont été retenus par les autorités qui se sont précédemment prononcées sur son maintien en détention – suffisent amplement pour retenir l’existence d’un risque de récidive concret de crimes ou délits graves susceptibles de sérieusement compromettre la sécurité d’autrui. Par ailleurs et quand bien même, selon l’expert, le risque de récidive pourrait être atténué moyennant une prise en charge thérapeutique, il apparaît que le requérant n’a toujours pas débuté un traitement ambulatoire en prison. En effet, lors des débats devant le Tribunal correctionnel de l’arrondissement de La Broye et du Nord vaudois, le prévenu a déclaré qu’il n’avait vu le Dr [...] qu’une seule fois, malgré le fait qu’il était censé le voir en prison chaque semaine, dès lors que cela n’avait pas pu se faire (jugement, p. 17). Il semble finalement que le prévenu ne consultera ce thérapeute qu’après sa sortie de prison. Enfin, les mesures d’éloignement ordonnées sur le plan civil (P. 198/1) ne sont pas propres à exclure l’existence d’un risque de récidive. On relève en particulier que l’expert ne s’est pas prononcé sur un risque de réitération uniquement lié à la fille du prévenu, mais à toute personne mineure ou incapable de donner son consentement (P. 65/2, p. 13). Au vu de ce qui précède, force est de constater que le risque de récidive concret retenu par le Tribunal des mesures de contrainte à plusieurs reprises, la Chambre des recours pénale, le Tribunal fédéral, puis le Tribunal correctionnel de l’arrondissement de La Broye et du Nord vaudois est toujours avéré.</w:t>
      </w:r>
    </w:p>
    <w:p>
      <w:r>
        <w:rPr>
          <w:b/>
        </w:rPr>
        <w:t>E. 3</w:t>
      </w:r>
    </w:p>
    <w:p>
      <w:r>
        <w:t>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3.1</w:t>
      </w:r>
    </w:p>
    <w:p>
      <w:r>
        <w:t>Moyennant sa libération de la détention pour des motifs de sûreté, le requérant indique être disposé à se soumettre à diverses mesures de substitution à la détention. Il propose le dépôt de ses documents d’identité ainsi que de tout autre document officiel nécessaire afin de garantir sa présence pour la suite de la procédure. Il envisage de se présenter, de manière hebdomadaire ou à toute autre intervalle souhaitée, au poste de police désigné à cet effet. Il suggère encore d’être interdit de contacter, de quelque manière que ce soit, sa fille Z.A.______, de ne pas approcher de son domicile ainsi que de son école, d’être assigné au domicile de sa mère, [...], à [...], pendant toute la durée de la procédure d’appel, subsidiairement à son propre domicile, à [...], et éventuellement de se faire poser un appareil technique de type bracelet électronique inamovible. Il s’engage également à ne pas communiquer, de quelque manière que ce soit, avec [...], à ne pas approcher du domicile de cette dernière et enfin, à suivre un traitement psychothérapeutique auprès du Dr [...], notamment sur la problématique sexuelle, dès le prononcé de sa mise en liberté.</w:t>
      </w:r>
    </w:p>
    <w:p>
      <w:r>
        <w:rPr>
          <w:b/>
        </w:rPr>
        <w:t>E. 3.2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3.3</w:t>
      </w:r>
    </w:p>
    <w:p>
      <w:r>
        <w:t>En l’espèce, le dépôt de papiers d’identité ou l’obligation de se présenter à un poste de police seraient potentiellement de nature à réduire le risque de fuite, mais pas celui de récidive. Une assignation à résidence, même assortie d’une surveillance électronique, ne serait pas plus efficace dans la mesure où les contrôles ne sont que rétroactifs et ne permettent ainsi pas d’assurer en temps réel le respect de la mesure (CREP 14 février 2020/114 consid. 5.3). En outre, les juges fédéraux ont déjà considéré que des interdictions de périmètre ou de contact – que ce soit avec la fille du prévenu ou avec les filles de sa voisine, qu’il avait parfois gardées – n’étaient pas suffisantes à prévenir tout risque de récidive (TF 1B_147/2019 du 23 avril 2019 consid. 3.2). Aucun élément présenté par le requérant n’est susceptible de remettre en considération cette appréciation, que l’autorité de céans fait naturellement sienne. Le Tribunal fédéral a également relevé qu’un engagement à se soumettre à un traitement médical n’était pas suffisant pour écarter le risque de récidive, d’autant plus en l’absence d’un traitement concrètement mis en œuvre et débuté par l’intéressé, étant observé que l’expert avait considéré que le lien thérapeutique avec le recourant était « fragile, incertain et susceptible de se rompre s’il est contrarié ou frustré » (P. 65/2, p. 6 ; cf. TF 1B_147/2019 précité consid. 3.3). Il s’ensuit qu’aucune des mesures proposées par le requérant n’est susceptible de réduire significativement le risque de récidive retenu. On ne voit au surplus pas d’autre mesure qui soit susceptible de réduire le risque existant.</w:t>
      </w:r>
    </w:p>
    <w:p>
      <w:r>
        <w:rPr>
          <w:b/>
        </w:rPr>
        <w:t>E. 4.1</w:t>
      </w:r>
    </w:p>
    <w:p>
      <w:r>
        <w:t>Le requérant relève qu’il a été condamné en première instance à une peine privative de liberté de 36 mois avec sursis partiel, la part ferme à exécuter étant de 18 mois, sous déduction de la détention avant jugement. Il se prévaut ainsi des 18 mois de détention déjà exécutés à ce jour pour requérir sa libération immédiate, bien que le Ministère public ait requis dans son appel joint une peine ferme de 36 mois.</w:t>
      </w:r>
    </w:p>
    <w:p>
      <w:r>
        <w:rPr>
          <w:b/>
        </w:rPr>
        <w:t>E. 4.2</w:t>
      </w:r>
    </w:p>
    <w:p>
      <w:r>
        <w:t>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w:t>
      </w:r>
    </w:p>
    <w:p>
      <w:r>
        <w:rPr>
          <w:b/>
        </w:rPr>
        <w:t>E. 4.3</w:t>
      </w:r>
    </w:p>
    <w:p>
      <w:r>
        <w:t>En l’espèce, le Tribunal correctionnel a condamné le requérant à une peine privative de liberté de 36 mois, ce qui donne une indication claire de la durée de la peine à laquelle le prévenu s’expose. Quand bien même les premiers juges ont assorti la peine d’un sursis partiel portant sur 18 mois, le Ministère public a conclu en procédure d’appel, par voie de jonction, à une peine entièrement ferme. En outre, le fait que tout ou partie de la peine puisse être assortie du sursis n’entre pas en considération dans le cadre de l’examen de la proportionnalité de la détention pour des motifs de sûreté (ATF 145 IV 179 consid. 3.4). Partant, le principe de la proportionnalité est toujours respecté (art. 212 al. 3 CPP).</w:t>
      </w:r>
    </w:p>
    <w:p>
      <w:r>
        <w:rPr>
          <w:b/>
        </w:rPr>
        <w:t>E. 5</w:t>
      </w:r>
    </w:p>
    <w:p>
      <w:r>
        <w:t>Au vu de ce qui précède, la détention pour des motifs de sûreté de T.________ est justifiée et sa demande de mise en liberté immédiate doit être rejetée. Les frais du présent prononcé, par 990 fr. (art. 21 al. 1 TFIP [Tarif des frais de procédure et indemnités en matière pénale du 28 septembre 2010 ; BLV 312.03.1]), seront mis à la charge de T.________,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