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175 vom 4. Dezember 2019</w:t>
      </w:r>
    </w:p>
    <w:p>
      <w:r>
        <w:t>VD Tribunal cantonal, 2019-12-04, FR</w:t>
      </w:r>
    </w:p>
    <w:p>
      <w:r>
        <w:rPr>
          <w:b/>
        </w:rPr>
        <w:t xml:space="preserve">Quelle: </w:t>
      </w:r>
      <w:r>
        <w:t>https://mcp.opencaselaw.ch/entscheid/vd_findinfo_Jug___2020___175</w:t>
      </w:r>
    </w:p>
    <w:p>
      <w:r>
        <w:t>FR: VD_FINDINFO Jug / 2020 / 175 du 4 décembre 2019</w:t>
      </w:r>
    </w:p>
    <w:p>
      <w:r>
        <w:t>IT: VD_FINDINFO Jug / 2020 / 175 del 4 dicembre 2019</w:t>
      </w:r>
    </w:p>
    <w:p>
      <w:pPr>
        <w:pStyle w:val="Heading2"/>
      </w:pPr>
      <w:r>
        <w:t>Regeste</w:t>
      </w:r>
    </w:p>
    <w:p>
      <w:r>
        <w:t>FIXATION DE LA PEINE, RESPONSABILITÉ RESTREINTE{DROIT PÉNAL}, CONCOURS D'INFRACTIONS, MEURTRE, TENTATIVE{DROIT PÉNAL}, SÉJOUR ILLÉGAL, VOL{DROIT PÉNAL}, DOMMAGES À LA PROPRIÉTÉ{DROIT PÉNAL}, VIOLATION DE DOMICILE, DÉNONCIATION CALOMNIEUSE | 19 al. 2 CP, 47 CP, 49 al. 1 CP</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P.________ est recevable.</w:t>
      </w:r>
    </w:p>
    <w:p>
      <w:r>
        <w:rPr>
          <w:b/>
        </w:rPr>
        <w:t>E. 2</w:t>
      </w:r>
    </w:p>
    <w:p>
      <w:r>
        <w:t>e éd., Bâle 2014, n. 1 ad art. 398 CPP).</w:t>
      </w:r>
    </w:p>
    <w:p>
      <w:r>
        <w:rPr>
          <w:b/>
        </w:rPr>
        <w:t>E. 3</w:t>
      </w:r>
    </w:p>
    <w:p>
      <w:r>
        <w:t>L’appelant ne conteste ni les faits, ni leurs qualifications juridiques. Il s’attaque uniquement à la peine, dont il conteste la quotité en arguant que les premiers juges n’auraient pas pris en compte de manière adéquate sa diminution de responsabilité et que sa culpabilité serait inférieure à celle retenue.</w:t>
      </w:r>
    </w:p>
    <w:p>
      <w:r>
        <w:rPr>
          <w:b/>
        </w:rPr>
        <w:t>E. 3.1</w:t>
      </w:r>
    </w:p>
    <w:p>
      <w:r>
        <w:t>S’agissant du grief relatif à la responsabilité restreinte, l’appelant reproche essentiellement au Tribunal criminel d’avoir écarté sa version selon laquelle il n’aurait aucun souvenir des faits constitutifs de tentative de meurtre ; il soutient que son amnésie serait réelle, ce qui justifierait de tenir compte d’une diminution moyenne de responsabilité et de retenir ainsi une faute objective grave, au lieu de très grave.</w:t>
      </w:r>
    </w:p>
    <w:p>
      <w:r>
        <w:rPr>
          <w:b/>
        </w:rPr>
        <w:t>E. 3.2</w:t>
      </w:r>
    </w:p>
    <w:p>
      <w:r>
        <w:t>Aux termes de l'art. 19 al. 2 CP (Code pénal suisse du 21 décembre 1937 ; RS 311.0),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TF 6B_1036/2017 du 24 août 2017 consid. 1.3).</w:t>
      </w:r>
    </w:p>
    <w:p>
      <w:r>
        <w:rPr>
          <w:b/>
        </w:rPr>
        <w:t>E. 3.3</w:t>
      </w:r>
    </w:p>
    <w:p>
      <w:r>
        <w:t>L’appelant perd de vue que la responsabilité pénale doit s’apprécier en référence au moment des faits à réprimer, et non au comportement durant l’enquête. Ainsi, même à admettre qu’il ait présenté une amnésie circonstancielle et ne se soit réellement pas rappelé, durant l’instruction et aux débats de première instance, ce qu’il s’était passé dans la nuit du 2 juillet 2018, cela n’a aucune incidence sur la responsabilité pénale qui était la sienne au moment des faits et qui constitue le seul élément déterminant. A cet égard, P.________ a bien expliqué aux experts psychiatres qu’il avait perdu la mémoire après avoir reçu les coups de couteau de la part de son adversaire (P. 130, p. 11). Les experts ont eux relevé que « quoi qu’il en soit de la réalité de cette amnésie et de ses causes, celle-ci ne nous renseigne pas sur l’état mental de l’expertisé au moment des faits » (P. 130, p. 12). Les experts ont en définitive conclu à une diminution légère de responsabilité s’agissant des faits constitutifs de tentative de meurtre, ce que le tribunal de première instance a pris en compte au moment de procéder à la fixation de la peine (jugement, p. 54). Or, on ne voit pas, et l’appelant n’explique pas, pour quelles raisons il aurait fallu s’écarter des conclusions de l’expertise en raison de son amnésie subséquente. Le grief ne peut en conséquence qu’être rejeté.</w:t>
      </w:r>
    </w:p>
    <w:p>
      <w:r>
        <w:rPr>
          <w:b/>
        </w:rPr>
        <w:t>E. 4.1</w:t>
      </w:r>
    </w:p>
    <w:p>
      <w:r>
        <w:t>L'appelant conteste ensuite la peine proprement dite. Il rappelle la définition de la culpabilité et soutient que ce serait à tort que les juges de première instance n’auraient pas retenu certains éléments à décharge, à l'exemple des excuses et du repentir, de sa dangerosité faible, de sa situation familiale et de ses maigres antécédents. Il faudrait également tenir compte du fait qu'il aurait lui-même été gravement blessé dans l'altercation, ce qui aurait une incidence sur la fixation de la peine. L’appelant se livre enfin à une comparaison avec d'autres affaires jugées par la Cour d’appel pénale, où des tentatives de meurtre auraient été punies moins sévèrement.</w:t>
      </w:r>
    </w:p>
    <w:p>
      <w:r>
        <w:rPr>
          <w:b/>
        </w:rPr>
        <w:t>E. 4.2</w:t>
      </w:r>
    </w:p>
    <w:p>
      <w:r>
        <w:t>Selon l’art.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 ATF 141 IV 61 consid. 6.1.1 et les réf. citées ; TF 6B_1463/2019 du 20 février 2020 consid. 2.1.1). Le juge dispose d'un large pouvoir d'appréciation dans la fixation de la peine.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144 IV 313 consid. 1.2 ; TF 6B_1463/2019 du 20 février 2020 consid. 2.1.1).</w:t>
      </w:r>
    </w:p>
    <w:p>
      <w:r>
        <w:rPr>
          <w:b/>
        </w:rPr>
        <w:t>E. 4.3</w:t>
      </w:r>
    </w:p>
    <w:p>
      <w:r>
        <w:t>Le Tribunal criminel a considéré que la culpabilité de P.________ était extrêmement lourde, dans la mesure où il avait été prêt à commettre l'irréparable pour satisfaire des besoins purement égoïstes, s’étant montré parfaitement incapable de gérer ses frustrations après avoir vainement tenté de dérober une boulette de cocaïne à un dealeur africain. Il a retenu la tentative achevée, à savoir que P.________ avait fait tout ce dont il était capable pour provoquer la mort de L.________. Il a estimé que l’intéressé avait fait très mauvaise impression aux débats, se retranchant derrière une prétendue amnésie pour s'exonérer de toute responsabilité. Le prévenu n'avait par ailleurs pas cessé de mentir durant l'enquête et son attitude révélait une personnalité résolument décidée à tout mettre en œuvre pour ne pas avoir à assumer ses actes. La détention subie n'avait occasionné aucune prise de conscience. Pour le tribunal de première instance, P.________ avait donné l'impression d'être un individu qui n'avait rien à perdre et qui était de ce fait sans foi ni loi. A cet égard, sa dangerosité ne devait pas être sous-estimée. Les infractions commises étaient en concours, ce qui justifiait une augmentation proportionnée de la peine à infliger. Le casier judiciaire du prévenu lui était enfin défavorable. A décharge, les juges de première instance n’ont pas retenu les excuses formulées par P.________, notamment dans le courrier qu'il avait adressé au Ministère public, l'état d'amnésie invoqué ne permettant pas d'en apprécier la véritable portée. En revanche, ils ont tenu compte de la légère diminution de responsabilité telle qu'évaluée par les experts psychiatres s'agissant des évènements survenus en date du 2 juillet 2018, étant rappelé qu'il n'y avait pas de diminution de responsabilité pour les autres cas reprochés (jugement, pp. 53-54).</w:t>
      </w:r>
    </w:p>
    <w:p>
      <w:r>
        <w:rPr>
          <w:b/>
        </w:rPr>
        <w:t>E. 4.4</w:t>
      </w:r>
    </w:p>
    <w:p>
      <w:r>
        <w:t>L’appelant reproche d’abord aux premiers juges d’avoir écarté ses excuses faites à plusieurs reprises à L.________. Il est vrai que l'appelant a exprimé des regrets, y compris aux débats de première instance, où il a déclaré ce qui suit : « Je n'ai jamais souhaité lui faire ce que j'ai fait et je lui demande pardon aujourd'hui. J'admets avoir possédé le couteau. Quand j'ai été auditionné par la police et que j'ai su l'état dans lequel était L.________, j'ai prié pour qu'il s'en sorte. En même temps, j'avais peur des conséquences sur ma famille et mes enfants. Aujourd’hui, je lui demande encore une fois pardon, de tout mon cœur et je demande pardon à Dieu » (jugement, p. 9). L’intéressé a réitéré ses regrets et excuses aux débats d’appel (cf. p. 3). Le rapport d'expertise psychiatrique mentionne également une forme de regrets (P. 130, pp. 7-8). On trouve encore au dossier une « lettre spontanée d'excuse » datée du 4 novembre 2019, écrite par P.________ à l’attention de F.________, de L.________ et du Procureur, dont on peut précisément douter de la spontanéité puisqu’elle a rapidement été produite par son défenseur devant le tribunal (P. 151). L’appelant y présente ses regrets et son désir le plus cher de retourner en [...] auprès de sa famille. Le prévenu a donc bien exprimé des regrets, mais on constate que ceux-ci sont intimement liés aux conséquences de l'acte pour lui-même et qu’il ne s'agit ainsi de loin pas de pures marques d'empathie pour autrui. Il y a lieu d’en tenir compte, mais pas dans la mesure souhaitée par l'appelant. Il ne faut au demeurant pas perdre de vue que P.________ a également menti avant qu’il n’allègue souffrir d’amnésie, ce qui est admis et qu’il convient de prendre en considération comme élément à charge.</w:t>
      </w:r>
    </w:p>
    <w:p>
      <w:r>
        <w:rPr>
          <w:b/>
        </w:rPr>
        <w:t>E. 4.5</w:t>
      </w:r>
    </w:p>
    <w:p>
      <w:r>
        <w:t>L’appelant plaide que l’expertise décrirait une dangerosité moindre que celle retenue par le tribunal de première instance, ainsi qu’un risque de récidive faible. Les juges de première instance auraient ainsi laissé libre cours à leur subjectivité et abusé de leur pouvoir d’appréciation. S’agissant du risque de récidive d'actes violents, celui-ci a en effet été évalué comme faible, en raison de l'absence d'antécédents de violence, de maladie mentale grave et d'impulsivité importante. Néanmoins, les experts ont précisé que « les facteurs de gestion du risque, c'est-à-dire, l'exposition à des facteurs déstabilisants, le manque de soutien personnel ou le degré de stress représentent des facteurs importants pour l'évolution de Monsieur P.________. Ces facteurs apparaissent comme étant liés au contexte dans lequel l'expertisé se trouvait au moment des faits et sont potentiellement modifiables » (P. 130, p. 15). Ces observations ont été relevées par les premiers juges (jugement, p. 26). Leur appréciation selon laquelle la dangerosité de l'appelant ne devrait pas être sous-estimée va donc dans le même sens que les constatations des experts ; elle n'est dès lors pas critiquable.</w:t>
      </w:r>
    </w:p>
    <w:p>
      <w:r>
        <w:rPr>
          <w:b/>
        </w:rPr>
        <w:t>E. 4.6</w:t>
      </w:r>
    </w:p>
    <w:p>
      <w:r>
        <w:t>L'appelant invoque ensuite une situation personnelle et familiale extrêmement difficile. Avant que l’entreprise au sein de laquelle il était employé ne périclite à cause de la révolution de 2011, il aurait eu une bonne situation sociale et financière en [...]. Il y est marié et y a deux enfants en bas âge. Ayant voulu tenter sa chance en Suisse en travaillant, il se serait rapidement rendu compte que cela n'était pas possible au vu de son absence de statut. Il s’est alors retrouvé à la rue, où il aurait commencé sa consommation de drogues et d’alcool. Il aurait cherché à plusieurs reprises à rentrer en [...], sans succès. Il relève qu’il aurait dû rencontrer un passeur à cette fin quelques heures après les événements du 2 juillet 2018. Le parcours de P.________ n’a certes pas été dénué de toute difficulté. On ne discerne toutefois pas vraiment en quoi sa situation devrait être prise en compte comme une circonstance atténuante. L'entrée illégale en Suisse et le fait d'avoir laissé sa famille au pays ne constituent en tout cas pas des éléments à décharge. On prendra néanmoins acte du fait que le prévenu avait pris contact avec une association d’aide au retour, avec laquelle il avait rendez-vous le lendemain de l’altercation, pour repartir en [...] (cf. p. 3). Pour le surplus, la situation personnelle difficile dans laquelle s’est retrouvée l’appelant ne permet pas de justifier, ni d’excuser les gestes extrêmement graves dont il s’est rendu coupable et dont les conséquences auraient pu être fatales pour L.________.</w:t>
      </w:r>
    </w:p>
    <w:p>
      <w:r>
        <w:rPr>
          <w:b/>
        </w:rPr>
        <w:t>E. 4.7</w:t>
      </w:r>
    </w:p>
    <w:p>
      <w:r>
        <w:t>L’appelant fait valoir que ses antécédents seraient véniels et de nature différente des actes pour lesquels il doit à présent être condamné. P.________ a été condamné à deux reprises en 2018 pour des infractions à la LEI (Loi fédérale sur les étrangers et l’intégration du 16 décembre 2005 ; RS 142.20) et une contravention à la LStup. Il a donc raison lorsqu’il affirme que ses antécédents sont moins graves que les faits à juger aujourd'hui et de nature différente. Il peut ainsi lui être donné acte que c'est la première fois qu'il doit être condamné pour un crime de sang. Cela étant, cet élément ne doit pas conduire à une atténuation de la peine. Les antécédents restent une circonstance à prendre en compte à charge, dans la mesure de leur importance, c'est-à-dire faible dans le cas d’espèce.</w:t>
      </w:r>
    </w:p>
    <w:p>
      <w:r>
        <w:rPr>
          <w:b/>
        </w:rPr>
        <w:t>E. 4.8</w:t>
      </w:r>
    </w:p>
    <w:p>
      <w:r>
        <w:t>L’appelant se prévaut des conséquences qu’auraient eu les faits litigieux sur lui, invoquant qu’il subirait encore aujourd’hui les répercussions sur sa santé des coups de couteau reçus. Il ressort des constats effectués à l’arrivée de P.________ au CHUV que celui-ci présentait notamment deux plaies d’environ 10 cm de long, l’une au dos et l’autre au thorax, une lacération du ligament pulmonaire et une côte fracturée. Il a dû être opéré en urgence. Au vu de cet état, les médecins du CURML ont retenu une mise en danger concrète de sa vie du point de vue médico-légal (cf. point C.2.7.3 supra ). Les lésions subies ont donc été très importantes, même si on ignore pratiquement tout des éventuelles séquelles qui perdureraient à ce jour, l'appelant n’ayant produit aucune pièce à ce propos, se limitant à soutenir qu'« il subit encore les répercussions de ces coups de couteau sur sa santé ». Interpellé sur cette question à l’audience d’appel, il a indiqué qu’il n’avait pas de séquelles physiques, mais qu’il allait mal sur le plan moral en raison de ce qu’il avait fait (cf. p. 4). Vu leur gravité, il convient quoi qu’il en soit effectivement de tenir compte, dans une certaine mesure, des atteintes subies lors de la fixation de la peine (cf. art. 54 CP).</w:t>
      </w:r>
    </w:p>
    <w:p>
      <w:r>
        <w:rPr>
          <w:b/>
        </w:rPr>
        <w:t>E. 4.9</w:t>
      </w:r>
    </w:p>
    <w:p>
      <w:r>
        <w:t>supra . On tiendra néanmoins compte, ce que ne semblent pas avoir fait les juges de première instance, des lésions subies par l’appelant lui-même, qui ont été graves puisque sa vie a également été mise en danger. Ainsi, une peine de 8 ans paraîtrait justifiée pour sanctionner les agissements du prévenu si la responsabilité de ce dernier était entière. En raison de la diminution de cette responsabilité, la faute doit être qualifiée de grave plutôt que d’extrêmement grave, ce qui justifie de réduire la peine à 6 ans. Le fait que le meurtre n’ait pas été consommé mais en soit resté au stade de la tentative ne doit pas conduire à une autre réduction de peine, dans la mesure où en l’occurrence, la tentative était achevée et le résultat proche, P.________ ayant fait preuve d’un acharnement de nature à provoquer la mort de L.________, qui ne doit sa vie qu’à des circonstances indépendantes de sa volonté, comme n’ont pas manqué de le relever les premiers juges (jugement, p. 53). Par les effets de l’aggravation due au concours, il se justifie d’augmenter cette peine de 60 jours (2 mois) pour le séjour illégal, de 30 jours (1 mois) pour le vol commis au préjudice de Q.________, de 30 jours (1 mois) pour le vol et 30 jours (1 mois) pour les dommages à la propriété commis au préjudice de N.________, de 30 jours (1 mois) pour le vol commis au préjudice de R.________, de 30 jours (1 mois) pour la tentative de vol, 30 jours (1 mois) pour les dommages à la propriété et 30 jours (1 mois) pour la violation de domicile commis au préjudice d’O.________ et de 90 jours (3 mois) pour la dénonciation calomnieuse. C’est ainsi en définitive une peine d’ensemble de 7 ans de privation de liberté qu’il se justifie de prononcer à l’endroit de P.________. Son appel doit être admis dans cette mesure. On ajoutera que la quotité de l’amende prononcée pour sanctionner la contravention à la LStup n’est pas contestée et peut donc être confirmée.</w:t>
      </w:r>
    </w:p>
    <w:p>
      <w:r>
        <w:rPr>
          <w:b/>
        </w:rPr>
        <w:t>E. 4.9.1</w:t>
      </w:r>
    </w:p>
    <w:p>
      <w:r>
        <w:t>Enfin, l’appelant se livre à une comparaison avec des jugements rendus par la Cour de céans pour des tentatives de meurtre, où la peine infligée était inférieure à celle prononcée à son encontre par les premiers juges.</w:t>
      </w:r>
    </w:p>
    <w:p>
      <w:r>
        <w:rPr>
          <w:b/>
        </w:rPr>
        <w:t>E. 4.9.2</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6B_334/2009 du 20 juillet 2009 consid. 2.3.1 ; Dupuis et al. [éd.], Code pénal, Petit commentaire, 2 e éd., Bâle 2017, n. 2a ad art. 47 CP ; Favre/Pellet/ Stoudmann, Code pénal annoté, 3 e éd., Lausanne 2011, n. 1.12 ad art. 47 CP).</w:t>
      </w:r>
    </w:p>
    <w:p>
      <w:r>
        <w:rPr>
          <w:b/>
        </w:rPr>
        <w:t>E. 4.9.3</w:t>
      </w:r>
    </w:p>
    <w:p>
      <w:r>
        <w:t>Au vu de la jurisprudence constante, rappelée ci-dessus, selon laquelle la peine doit être individualisée, ce qui rend vaine toute comparaison avec d’autres situations, la critique de l’appelant fondée sur les sanctions prononcées dans d’autres jugements n’est pas pertinente.</w:t>
      </w:r>
    </w:p>
    <w:p>
      <w:r>
        <w:rPr>
          <w:b/>
        </w:rPr>
        <w:t>E. 5</w:t>
      </w:r>
    </w:p>
    <w:p>
      <w:r>
        <w:t>L’ensemble des circonstances concrètes soulevées par l’appelant ayant été débattu, il convient de procéder à la fixation de la peine proprement dite.</w:t>
      </w:r>
    </w:p>
    <w:p>
      <w:r>
        <w:rPr>
          <w:b/>
        </w:rPr>
        <w:t>E. 5.1.1</w:t>
      </w:r>
    </w:p>
    <w:p>
      <w:r>
        <w:t>En cas de diminution de la responsabilité, le juge doit, dans un premier temps,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IV 55 consid. 5.7 ; TF 6B_1036 du 24 août 2017 consid. 1.3).</w:t>
      </w:r>
    </w:p>
    <w:p>
      <w:r>
        <w:rPr>
          <w:b/>
        </w:rPr>
        <w:t>E. 5.1.2</w:t>
      </w:r>
    </w:p>
    <w:p>
      <w:r>
        <w:t>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 ATF 145 IV 1 consid. 1.3 ; ATF 144 IV 313 consid. 1.1.2 ; ATF 127 IV 101 consid. 2b).</w:t>
      </w:r>
    </w:p>
    <w:p>
      <w:r>
        <w:rPr>
          <w:b/>
        </w:rPr>
        <w:t>E. 5.2</w:t>
      </w:r>
    </w:p>
    <w:p>
      <w:r>
        <w:t>En l’espèce, l’appelant doit être sanctionné pour une contravention à la LStup, passible d’une amende (art. 19a ch. 1 LStup), un séjour illégal, passible d’une peine privative de liberté d’un an au plus ou d’une peine pécuniaire (art. 115 al. 1 let. b LEI), trois vols et une tentative de vol, chacun punissable d’une peine privative de liberté de cinq ans au plus ou d’une peine pécuniaire (art. 139 ch. 1 CP), deux dommages à la propriété, punissables chacun d’une peine privative de liberté de trois ans au plus ou d’une peine pécuniaire (art. 144 al. 1 CP), une violation de domicile, passible d’une peine privative de liberté de trois ans au plus ou d’une peine pécuniaire (art. 186 CP), une tentative de meurtre, passible d’une peine privative de liberté de cinq ans au moins (art. 111 CP) – laquelle doit cependant faire l’objet d’une atténuation au vu de la diminution légère de responsabilité du prévenu (cf. art. 19 al. 2 CP) –, et une dénonciation calomnieuse, passible d’une peine privative de liberté ou d’une peine pécuniaire (art. 303 ch. 1 CP). Le prononcé d’une peine privative de liberté pour l’ensemble des infractions commises, à l’exception de la contravention à la LStup, punissable d’une seule amende, s’impose pour des motifs de prévention spéciale. L’infraction la plus grave est celle de tentative de meurtre. Pour fixer la peine, il faut tenir compte de la diminution légère de responsabilité de l’appelant. A pleine responsabilité, la culpabilité de P.________ serait extrêmement lourde, compte tenu de l’ensemble des circonstances à charge énoncées par le Tribunal criminel et rappelées ci-dessus (consid. 4.3), lesquelles ne doivent être tempérées que dans la faible mesure des griefs admis de l’appelant, selon ce qui a été développé sous considérants 4.4 à</w:t>
      </w:r>
    </w:p>
    <w:p>
      <w:r>
        <w:rPr>
          <w:b/>
        </w:rPr>
        <w:t>E. 6</w:t>
      </w:r>
    </w:p>
    <w:p>
      <w:r>
        <w:t>La détention subie depuis le jugement de première instance sera déduite (art. 51 CP). Au vu de la quotité de la peine prononcée et de l’absence totale d’attache de l’appelant avec la Suisse, il y a lieu de craindre que celui-ci ne tente de se soustraire à l’exécution de sa peine en cas de libération. Il convient donc d’ordonner son maintien en exécution anticipée de peine.</w:t>
      </w:r>
    </w:p>
    <w:p>
      <w:r>
        <w:rPr>
          <w:b/>
        </w:rPr>
        <w:t>E. 7</w:t>
      </w:r>
    </w:p>
    <w:p>
      <w:r>
        <w:t>En définitive, l’appel doit être partiellement admis et le jugement entrepris réformé dans le sens des considérants qui précèdent. Le droit à une défense d’office vaut pour toutes les étapes de la procédure (Harari/Jakob/Santamaria, in : Jeanneret/Kuhn/Perrier Depeursinge [éd.], Commentaire romand, Code de procédure pénale suisse, 2 e éd., Bâle 2019, nn. 1-2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défenseur d’office déjà désigné par l’autorité inférieure, à la différence de ce que prévoit l’art. 119 al. 5 CPC (Code de procédure civile du 19 décembre 2008 ; RS 272) en matière civile. La requête de Me Valentine Gétaz Kunz tendant à la prolongation de son mandat est donc superflue. La liste d’opérations produite par le défenseur d’office de P.________ (P. 168) fait état d’un temps total consacré au mandat, hors audience, de 19 heures et 35 minutes, dont 6 heures et 45 minutes consacrées à des recherches et à l’étude du dossier. Au vu du temps déjà dévolu à la rédaction de la déclaration d’appel (4 heures et 10 minutes) et eu égard au fait que le dossier était connu du défenseur, qui assistait déjà le prévenu durant l’enquête et aux débats de première instance, cette durée d’étude et de recherches est excessive. Il convient de la réduire à 3 heures. Il y a toutefois lieu d’ajouter au temps annoncé 1 heure et 20 minutes pour l’audience d’appel. En définitive, c’est ainsi une indemnité de 3'782 fr. 20, correspondant à 17 heures et 10 minutes d’activité au tarif horaire d’avocat de 180 fr., par 3'090 fr., des débours forfaitaires de 2 % (cf. art. 3bis al. 1 RAJ [Règlement sur l’assistance judiciaire en matière civile du 7 décembre 2010 ; BLV 211.02.3], applicable par renvoi de l’art. 26b TFIP [Tarif des frais de procédure et indemnités en matière pénale du 28 septembre 2010 ; BLV 312.03.1]), par 61 fr. 80, trois vacations à 120 fr., par 360 fr., et la TVA, par 270 fr. 40, qui sera allouée à Me Valentine Gétaz Kunz. Vu l’issue de la cause, les frais de la procédure d’appel, par 6'902 fr. 20, constitués de l’émolument d’audience et de jugement, par 3'120 fr. (art. 21 al. 1 et 2 TFIP), et de l’indemnité due au défenseur d’office de l’appelant, par 3'782 fr. 20, seront mis par moitié, soit par 3'451 fr. 10, à la charge de P.________, le solde étant laissé à la charge de l’Etat (cf. art. 428 al. 1, 1 re phrase, CPP). L’appelant ne sera toutefois tenu de rembourser à l’Etat la moitié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