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162 vom 18. Februar 2020</w:t>
      </w:r>
    </w:p>
    <w:p>
      <w:r>
        <w:t>VD Tribunal cantonal, 2020-02-18, FR</w:t>
      </w:r>
    </w:p>
    <w:p>
      <w:r>
        <w:rPr>
          <w:b/>
        </w:rPr>
        <w:t xml:space="preserve">Quelle: </w:t>
      </w:r>
      <w:r>
        <w:t>https://mcp.opencaselaw.ch/entscheid/vd_findinfo_Jug___2020___162</w:t>
      </w:r>
    </w:p>
    <w:p>
      <w:r>
        <w:t>FR: VD_FINDINFO Jug / 2020 / 162 du 18 février 2020</w:t>
      </w:r>
    </w:p>
    <w:p>
      <w:r>
        <w:t>IT: VD_FINDINFO Jug / 2020 / 162 del 18 febbraio 2020</w:t>
      </w:r>
    </w:p>
    <w:p>
      <w:pPr>
        <w:pStyle w:val="Heading2"/>
      </w:pPr>
      <w:r>
        <w:t>Regeste</w:t>
      </w:r>
    </w:p>
    <w:p>
      <w:r>
        <w:t>DÉPENS, FRAIS JUDICIAIRES, CLASSEMENT DE LA PROCÉDURE, PRESCRIPTION, ACTION PÉNALE, ENQUÊTE PÉNALE, VIOLENCE DOMESTIQUE | 28 CC, 426 al. 2 CPP (CH), 429 al. 1 let. a CPP (CH), 429 CPP (CH), 430 al. 1 let. a CPP (CH)</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est recevable.</w:t>
      </w:r>
    </w:p>
    <w:p>
      <w:r>
        <w:rPr>
          <w:b/>
        </w:rPr>
        <w:t>E. 1.2</w:t>
      </w:r>
    </w:p>
    <w:p>
      <w:r>
        <w:t>Dès lors qu'il ne porte que sur les frais et l’indemnité fondée sur l’art. 429 CPP, l'appel est soumis à la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L’appelant conteste la mise à sa charge des frais de procédure et requiert une indemnité pour ses frais de défense. Il soutient que, dès lors que la prescription a mis fin à l’action pénale pour les voies de fait, il ne pourrait plus être condamné aux frais de cette procédure. Il affirme également qu’il n’aurait commis aucune faute civile s’agissant de la poursuite pénale pour lésions corporelles simples qualifiées, soutenant n’avoir jamais levé la main sur son ex-amie.</w:t>
      </w:r>
    </w:p>
    <w:p>
      <w:r>
        <w:rPr>
          <w:b/>
        </w:rPr>
        <w:t>E. 3.2.1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La condamnation aux frais ne saurait ainsi constituer une peine déguisée qui laisserait supposer que le prévenu est coupable ou qu’il subsisterait un soupçon à son encontre (Moreillon/Parein-Reymond, Petit commentaire du Code de procédure pénale, Bâle 2016, n. 13 ad art. 426 et la réf. cit.). Selon la jurisprudence de la Cour européenne des droits de l’Homme, l’art. 6 par. 2 CEDH est violé si une décision donne le sentiment que le prévenu n’a échappé à une condamnation qu’en raison de la seule prescription (cf. CourEDH n o 5689/08 du 3 mai 2011, Giosakis c. Grèce, § 41 et 42).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3.2.2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3.3</w:t>
      </w:r>
    </w:p>
    <w:p>
      <w:r>
        <w:t>En l’espèce, contrairement à ce que soutient l’appelant, la prescription ne donne pas lieu à un régime particulier de traitement des frais en cas d’acquittement du prévenu et demeure soumise aux mêmes principes que ceux qui s’appliquent lorsque l’action pénale n’est plus ouverte, par exemple en cas de décès du prévenu en cours de procédure ou de retrait de la plainte si l’infraction ne se poursuivait que sur plainte. L’autorité pénale ne peut par contre pas mettre à la charge du prévenu les frais de la cause si l’action pénale était déjà prescrite ou sur le point de l’être lors de l’ouverture de l’instruction pénale (CREP 18 mai 2019/409). Tel n’est pas le cas en l’occurrence, puisqu’au moment où l’ordonnance pénale a été rendue, le 30 août 2018, l’action pénale pour l’infraction de voies de fait n’était pas encore prescrite. L’acquisition de la prescription en cours de procédure ne dispense ainsi pas d’examiner si les actes imputés à l’appelant par la plaignante constituaient notamment, sur le plan civil, une atteinte à l’intégrité physique et donc à la personnalité de celle-ci (art. 28 al. 1 CC [Code civil suisse du 10 décembre 1907 ; RS 210], art. 41 et 46 CO [Code des obligations, Loi fédérale complétant le Code civil suisse du 30 mars 1911 ; RS 220]) et si l’appelant a provoqué l’ouverture de la procédure pénale de manière illicite et fautive, ce qui impliquerait qu’il doive supporter la totalité des frais de procédure de première instance (art. 426 al. 2 CPP ; TF 6B_795/2017 du 30 mai 2018). A cet égard, l’appelant conteste avoir commis une faute civile et soutient n’avoir jamais levé la main sur son ex-amie. Les faits contestés consistaient à avoir violemment tiré, au point de le faire craquer, l’index droit de la dénonciatrice durant un trajet en voiture se situant à fin avril-début mai 2016 (cas 1) ; à avoir frappé la plaignante le 4 mai 2016, lui avoir infligé une entorse au poignet et un arrachement de la plaque palmaire, lui avoir donné des gifles et lui avoir tiré les cheveux (cas 2) ; l’avoir frappée le 22 août 2016, l’avoir secouée en lui saisissant les bras, l’avoir étranglée durant une vingtaine de secondes sans lui couper la respiration, lui avoir arraché un poignée de cheveux (cas 3) ; lui avoir donné un coup de tête vers la mi-octobre 2016, lui causant un bleu et la projetant au sol (cas 4) ; lui avoir violement tordu l’avant-bras le 23 décembre 2016 (cas 5). F.________ a révélé ces faits lors de sa déclaration à la Police municipale de Lausanne le 3 janvier 2017 (P. 4). Elle a confirmé ses propos, en donnant plus de détails, lors de son audition par le Ministère public le 14 août 2017 (PV aud. 2). Le premier juge a considéré (jugement p. 15) que la mise en cause du prévenu par son ex-amie, qui a déposé plainte le 23 mars 2017 et l’a retirée lors de l’audience du 25 mars 2019, était en tous points conforme à la vérité parce que : - le « coup de boule » du cas</w:t>
      </w:r>
    </w:p>
    <w:p>
      <w:r>
        <w:rPr>
          <w:b/>
        </w:rPr>
        <w:t>E. 4</w:t>
      </w:r>
    </w:p>
    <w:p>
      <w:r>
        <w:t>En définitive, l’appel de H.________, manifestement mal fondé, doit être rejeté sans échange d'écritures (art. 390 al. 2 CPP) et le jugement entrepris confirmé. Vu l’issue de la cause, les frais de la procédure d’appel, constitués en l’espèce du seul émolument de jugement, par 1’430 fr. (art. 21 al. 1 TFIP [tarif des frais de procédure et indemnités en matière pénale du 28 septembre 2010 ; BLV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