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148 vom 24. Februar 2016</w:t>
      </w:r>
    </w:p>
    <w:p>
      <w:r>
        <w:t>VD Tribunal cantonal, 2016-02-24, FR</w:t>
      </w:r>
    </w:p>
    <w:p>
      <w:r>
        <w:rPr>
          <w:b/>
        </w:rPr>
        <w:t xml:space="preserve">Quelle: </w:t>
      </w:r>
      <w:r>
        <w:t>https://mcp.opencaselaw.ch/entscheid/vd_findinfo_Jug___2020___148</w:t>
      </w:r>
    </w:p>
    <w:p>
      <w:r>
        <w:t>FR: VD_FINDINFO Jug / 2020 / 148 du 24 février 2016</w:t>
      </w:r>
    </w:p>
    <w:p>
      <w:r>
        <w:t>IT: VD_FINDINFO Jug / 2020 / 148 del 24 febbraio 2016</w:t>
      </w:r>
    </w:p>
    <w:p>
      <w:pPr>
        <w:pStyle w:val="Heading2"/>
      </w:pPr>
      <w:r>
        <w:t>Regeste</w:t>
      </w:r>
    </w:p>
    <w:p>
      <w:r>
        <w:t>DÉFAUT{CONTUMACE}, PRESCRIPTION, FRAIS DE LA PROCÉDURE, INDEMNITÉ POUR DÉTENTION | 97 al. 3 CP, 369 al. 1 CPP (CH), 369 al. 3 CPP (CH), 426 al. 2 CPP (CH), 431 CPP (CH)</w:t>
      </w:r>
    </w:p>
    <w:p>
      <w:pPr>
        <w:pStyle w:val="Heading2"/>
      </w:pPr>
      <w:r>
        <w:t>Erwägungen</w:t>
      </w:r>
    </w:p>
    <w:p>
      <w:r>
        <w:rPr>
          <w:b/>
        </w:rPr>
        <w:t>E. 1.1</w:t>
      </w:r>
    </w:p>
    <w:p>
      <w:r>
        <w:t>Interjetés dans les formes et délais légaux par des parties ayant qualité pour recourir contre le jugement du tribunal de première instance qui a clos la procédure (art. 398 al. 1 CPP), l’appel de Q.________ et l’appel joint du Ministère public sont recevables.</w:t>
      </w:r>
    </w:p>
    <w:p>
      <w:r>
        <w:rPr>
          <w:b/>
        </w:rPr>
        <w:t>E. 1.2</w:t>
      </w:r>
    </w:p>
    <w:p>
      <w:r>
        <w:t>La procédure écrite est applicable (art. 406 al. 1 let. a 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w:t>
      </w:r>
    </w:p>
    <w:p>
      <w:r>
        <w:t>L’appelant fait valoir que l’action pénale concernant l’intégralité des infractions qui lui sont reprochées dans l’acte d’accusation du 30 septembre 2014 est aujourd’hui prescrite. Il se prévaut notamment de l’arrêt rendu le 28 octobre 2019 par le Tribunal fédéral (6B_389/2019).</w:t>
      </w:r>
    </w:p>
    <w:p>
      <w:r>
        <w:rPr>
          <w:b/>
        </w:rPr>
        <w:t>E. 3.1.1</w:t>
      </w:r>
    </w:p>
    <w:p>
      <w:r>
        <w:t>L’action pénale se prescrit par quinze ans si la peine maximale encourue est une peine privative de liberté de plus de trois ans (art. 97 al. 1 let. b CP). La prescription ne court plus si, avant son échéance, un jugement de première instance a été rendu (art. 97 al. 3 CP). Aux termes de l’art. 70 aCP, en vigueur avant le 1 er octobre 2002, l’action pénale se prescrit par dix ans, si elle est passible de l’emprisonnement pour plus de trois ans ou de la réclusion. Selon l’art. 70 al. 1 let. b aCP, en vigueur depuis le 1 er octobre 2002, l’action pénale se prescrit par quinze ans si elle est passible d’une peine d’emprisonnement de plus de trois ans ou d’une peine de réclusion.</w:t>
      </w:r>
    </w:p>
    <w:p>
      <w:r>
        <w:rPr>
          <w:b/>
        </w:rPr>
        <w:t>E. 3.1.2</w:t>
      </w:r>
    </w:p>
    <w:p>
      <w:r>
        <w:t>Dans son arrêt rendu le 28 octobre 2019 (6B_389/2019), destiné à publication, le Tribunal fédéral a consacré un changement de sa jurisprudence relative à l’effet interruptif de la prescription de l’action pénale, aux termes de l’art. 97 al. 3 CP, qui s’attache à un jugement de première instance prononcé par défaut. Il considère désormais qu’un tel jugement de première instance prononcé par défaut au sens des art. 366 ss CPP n’est pas à même de mettre un terme définitif au cours de la prescription pénale. Ainsi, selon le Tribunal fédéral, un jugement par défaut au sens des art. 366 ss CPP ne peut être assimilé à un jugement de première instance au sens de l’art. 97 al. 3 CP que sous la condition résolutoire qu’il n’y ait pas ultérieurement de dépôt d’une demande de nouveau jugement et que le jugement par défaut ne soit pas remplacé par le nouveau jugement. Par conséquent, lorsque le jugement par défaut devient caduc à la suite de l’admission de la demande de nouveau jugement et du prononcé de celui-ci, la prescription de l’action pénale se calcule sans qu’il faille tenir compte du jugement par défaut rendu précédemment.</w:t>
      </w:r>
    </w:p>
    <w:p>
      <w:r>
        <w:rPr>
          <w:b/>
        </w:rPr>
        <w:t>E. 3.2</w:t>
      </w:r>
    </w:p>
    <w:p>
      <w:r>
        <w:t>Dans le cas particulier, tant les cas n° 1 à 4 de l’acte d’accusation, qui ont été commis du 16 mai au 22 juillet 2002, que les cas n° 5 à 10, qui ont été commis du 6 octobre 2002 au 15 juillet 2003, sont prescrits, que ce soit au demeurant selon l’ancien droit de la prescription en vigueur jusqu’au 1 er octobre 2002, qu’en vertu du nouveau droit de la prescription en vigueur depuis lors. En particulier, on relève que, selon la jurisprudence précitée, il ne faut pas tenir compte d’une interruption de la prescription à compter du jugement rendu par défaut le 24 février 2016 et donc que l’ensemble des cas figurant dans l’acte d’accusation, en particulier les cas n° 5 à 10, ont ainsi été commis plus de quinze ans avant le nouveau jugement rendu à l’encontre de l’appelant le 28 août 2019. Il s’ensuit qu’il convient de mettre fin à l’action pénale et de libérer le prévenu de toutes les infractions qui lui sont reprochées dans l’acte d’accusation du 30 septembre 2014.</w:t>
      </w:r>
    </w:p>
    <w:p>
      <w:r>
        <w:rPr>
          <w:b/>
        </w:rPr>
        <w:t>E. 4</w:t>
      </w:r>
    </w:p>
    <w:p>
      <w:r>
        <w:t>Le Ministère public fait valoir que Q.________ a provoqué de manière illicite et fautive l’ouverture de la procédure pénale et qu’il convient donc de mettre l’ensemble des frais de première instance à sa charge. Pour les mêmes motifs, il considère que l’appelant n’a pas droit à l’allocation d’une indemnité au sens de l’art. 429 al. 1 let. c CPP pour la détention qu’il a subie du 14 janvier au 27 octobre 2019. Il admet cependant qu’une indemnité pour ce motif peut être allouée à l’intéressé pour la période du 28 octobre au 25 novembre 2019, la détention n’étant devenue illicite qu’à compter du 28 octobre 2019, date à laquelle l’arrêt du Tribunal fédéral précité a été rendu. L’appelant ne conteste pas avoir commis les infractions pénales qui lui étaient reprochées en 2002 et en 2003. Il estime toutefois que lorsqu’il a été arrêté en janvier 2019, l’action pénale concernant ces infractions était déjà prescrite. Il affirme également n’avoir pas causé de manière illicite et fautive l’ouverture de l’action pénale, dès lors qu’une mauvaise application du droit aurait été à l’origine de son incarcération. Il considère en outre que le montant journalier de son tort moral ne peut être réduit à 50 fr. par jour de détention injustifiée comme le fait valoir le Ministère public, mais doit être arrêté à 200 fr. par jour.</w:t>
      </w:r>
    </w:p>
    <w:p>
      <w:r>
        <w:rPr>
          <w:b/>
        </w:rPr>
        <w:t>E. 4.1.1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4.1.2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w:t>
      </w:r>
    </w:p>
    <w:p>
      <w:r>
        <w:rPr>
          <w:b/>
        </w:rPr>
        <w:t>E. 4.1.3</w:t>
      </w:r>
    </w:p>
    <w:p>
      <w:r>
        <w:t>Conformément à l’art. 431 al. 1 CPP, si le prévenu a, de manière illicite, fait l’objet de mesures de contrainte, l’autorité pénale lui alloue une juste indemnité et réparation pour tort moral. Dans cette hypothèse, il n’est prévu aucune restriction au droit à l’indemnisation et aucun motif de réduction ; lorsque les conditions de l’art. 431 CPP sont remplies, le prévenu a droit à une indemnité indépendamment de l’issue de la procédure pénale et l’art. 430 CPP n’est en particulier pas applicable (TF 6B_291/2013 du 12 décembre 2013, SJ 2014 I 2018 ; Moreillon/Parein-Reymond, Code de procédure pénale, Petit commentaire, 2 e éd., Bâle 2016, n. 10 ad art. 431 CPP et l’auteur cité).</w:t>
      </w:r>
    </w:p>
    <w:p>
      <w:r>
        <w:rPr>
          <w:b/>
        </w:rPr>
        <w:t>E. 4.1.4</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6B_984/2018 du 4 avril 2019 consid. 5.1 ; TF 6B_53/2013 du 8 juillet 2013 consid. 3.2 et les références citées).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 ATF 123 II 10 consid. 4c ; TF 6B_984/2018 du 4 avril 2019 consid. 5.4.1). Toutefois, dans la mesure où le bénéficiaire domicilié à l'étranger serait exagérément avantagé en raison des conditions économiques et sociales existant à son lieu de domicile, il convient d'adapter l'indemnité vers le bas (ATF 125 II 554 consid. 4a ; ATF 123 III 10 consid. 4 ; TF 6B_984/2018 du 4 avril 2019 consid. 5.4.1).</w:t>
      </w:r>
    </w:p>
    <w:p>
      <w:r>
        <w:rPr>
          <w:b/>
        </w:rPr>
        <w:t>E. 4.2.1</w:t>
      </w:r>
    </w:p>
    <w:p>
      <w:r>
        <w:t>En l’espèce, le profil ADN de l’appelant a, pour l’essentiel des cas, été retrouvé sur les lieux des infractions ou à proximité de ceux-ci. En outre, devant l’autorité de première instance, mais aussi dans ses déterminations subséquentes, le prévenu a admis l’ensemble des faits qui lui étaient reprochés dans l’acte d’accusation du 30 septembre 2014. Ainsi, les faits ne sont pas contestés et sont clairement établis. Dans ces conditions, force est de constater que Q.________, en commettant l’ensemble des actes qui lui étaient reprochés, a provoqué, de manière illicite et fautive, l’ouverture de la présente procédure pénale. Il doit donc supporter l’ensemble des frais de première instance, par 46'795 fr. 85, y compris l’indemnité allouée à son défenseur d’office, par 5'018 fr. 85.</w:t>
      </w:r>
    </w:p>
    <w:p>
      <w:r>
        <w:rPr>
          <w:b/>
        </w:rPr>
        <w:t>E. 4.2.2</w:t>
      </w:r>
    </w:p>
    <w:p>
      <w:r>
        <w:t>L’appelant a été détenu préventivement du 14 janvier au 25 novembre 2019. En l’occurrence, il y a lieu de constater que cette période de détention n’était pas illicite dans un premier temps, puis qu’elle reposait, avant que le Tribunal fédéral décide de changer, dans son arrêt du 28 octobre 2019 (6B_389/2019), sa juris-prudence relative à l’effet interruptif de la prescription d’un jugement par défaut, sur l’ancienne jurisprudence selon laquelle, en substance, un jugement par défaut était au contraire de nature à interrompre la prescription au sens de l’art. 97 al. 3 CP (ATF 139 IV 62 consid. 1.4.1, JdT 2014 IV 44). La détention de l’appelant est en réalité devenue illicite qu’à compter du revirement de jurisprudence du Tribunal fédéral sur ce point. En outre, selon l’art. 369 CPP, s’il apparaît vraisemblable que les conditions permettant de rendre un nouveau jugement sont réunies, la direction de la procédure fixe de nouveaux débats ; lors de ceux-ci, le tribunal statue sur la demande du condamné et rend, le cas échéant, un nouveau jugement (al. 1). La direction de la procédure décide jusqu’aux débats de l’octroi de l’effet suspensif et de la détention pour des motifs de sûreté (al. 3). La demande de nouveau jugement n’a ainsi pas d’effet suspensif (Maurer, in : Niggli/Heer/Wiprächtiger [éd.], Basler Kommentar, Schweizerische Strafprozessordnung, Jugendstrafprozessordnung, 2 e éd., Bâle 2014, n. 7 ad art. 369 CPP). Ainsi, le jugement condamnant Q.________ par défaut le 24 février 2016 par le Tribunal correctionnel de l’arrondissement de Lausanne est demeuré un titre de détention valable jusqu’à une nouvelle décision de la direction de la procédure de l’autorité de première instance saisie de la demande de nouveau jugement du prénommé, soit jusqu’au prononcé du Président du tribunal du 30 juillet 2019, ordonnant, ensuite de la détention extraditionnelle de l’appelant, sa détention pour des motifs de sûreté. Puis, le jugement du 28 août 2019, dans le cadre duquel le tribunal a ordonné, au chiffre III de son dispositif, le maintien en exécution anticipée de peine de l’intéressé, a également constitué un titre de détention licite. A cet égard, l’appelant ne s’est pas opposé à son maintien en détention. Pour sa part, le revirement de jurisprudence du Tribunal fédéral sur la question de l’effet interruptif de la prescription d’un jugement par défaut date, comme on l’a vu, du 28 octobre 2019. Il n’a cependant été publié sur le site internet de cette autorité que le 14 novembre suivant. Ainsi, force est d’admettre que c’est depuis cette dernière date seulement qu’il a été possible de constater que l’action pénale concernant les infractions reprochées à Q.________ était prescrite et donc que les conditions permettant la détention du prénommé n’étaient plus réunies, celle-ci devenant dès lors illicite. Sur ce point, on ne saurait considérer que la détention licite jusqu’au 14 novembre 2019 soit devenue illicite du simple fait que le Tribunal fédéral a entre-temps changé sa jurisprudence relative aux délais de prescription. Une telle interprétation aurait pour effet de favoriser les prévenus qui se sont soustraits à la poursuite pénale, alors même que les faits seraient graves, établis et reconnus par ces derniers. Telle ne saurait être la volonté du législateur. De plus, le fait que cette nouvelle jurisprudence a pour effet que les infractions étaient déjà prescrites lors de l’arrestation de l’appelant n’y change rien, dans la mesure où elle ne saurait avoir un effet rétroactif sur des mesures de contrainte qui étaient licites au moment où celles-ci ont été ordonnées. Par conséquent, seule la période de détention comprise entre le 14 et le 25 novembre 2019, à savoir 12 jours, doit être considérée comme illicite. La détention licite du prévenu ne donne pas lieu à indemnisation, même si celui-ci a été acquitté, dès lors qu’il a provoqué l’ouverture de la procédure pénale. S’agissant de la quotité de l’indemnité pour la détention illicite, on relève que le coût de la vie en Serbie, où se situe le domicile de l’appelant, est notoirement plus bas qu’en Suisse. Il convient toutefois de renoncer à réduire le montant de l’indemnité usuel prévu par la jurisprudence de 200 fr. pour chaque jour de détention subi de manière illicite par l’intéressé, dès lors que celui-ci travaillait en Belgique. Ainsi, pour les 12 jours de détention subis de manière illicite, Q.________ aura droit à une indemnité à ce titre de 2'400 fr. (12 x 200 fr.).</w:t>
      </w:r>
    </w:p>
    <w:p>
      <w:r>
        <w:rPr>
          <w:b/>
        </w:rPr>
        <w:t>E. 5</w:t>
      </w:r>
    </w:p>
    <w:p>
      <w:r>
        <w:t>L’appelant réclame une indemnité pour le dommage économique qu’il a subi en raison de sa détention préventive de 21'991 fr. 20. Il expose qu’avant son incarcération, il travaillait pour la société [...], une société polonaise, qui le détachait dans divers pays européens, dont la Belgique, et que son salaire s’élevait à 1'700 euros, soit 1'870 francs. Il ajoute qu’n’a pas pu exercer son activité professionnelle durant 358 jours, soit les 317 jours de son incarcération et les 41 jours suivants, dès lors qu’il n’a retrouvé du travail que le 6 janvier 2020.</w:t>
      </w:r>
    </w:p>
    <w:p>
      <w:r>
        <w:rPr>
          <w:b/>
        </w:rPr>
        <w:t>E. 5.1</w:t>
      </w:r>
    </w:p>
    <w:p>
      <w:r>
        <w:t>Selon l’art. 429 al. 1 let. b CPP, si le prévenu est acquitté totalement ou en partie ou s’il bénéfice d’une ordonnance de classement, il a droit à une indemnité pour le dommage économique subi au titre de sa participation obligatoire à la procédure pénale. 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6B_361/2018 du 15 juin 2018 consid. 5.1 et les auteurs cités). En revanche, les dépenses privées et les pertes de temps, par exemple pour l'étude du dossier, ne sont en règle générale pas indemnisées (TF 6B_361/2018 du 15 juin 2018 consid. 5.1 et les références citées).</w:t>
      </w:r>
    </w:p>
    <w:p>
      <w:r>
        <w:rPr>
          <w:b/>
        </w:rPr>
        <w:t>E. 5.2</w:t>
      </w:r>
    </w:p>
    <w:p>
      <w:r>
        <w:t>En l’espèce, il n’y a pas lieu d’allouer d’indemnité à l’appelant pour la période de détention allant de son arrestation, le 14 janvier 2019, à la publication de la jurisprudence du Tribunal fédéral, le 14 novembre 2019, en raison des motifs exposés ci-dessus s’agissant des frais de procédure et de l’indemnité pour tort moral. Quand bien même l’appelant a, comme on l’a vu, provoqué de manière illicite et fautive l’ouverture de la procédure pénale, une indemnité pour le dommage économique subi peut lui être allouée pour la période de 12 jours de détention illicite du 14 au 25 novembre 2019 et la période ultérieure durant laquelle il est demeuré sans emploi. Q.________ n’a en effet pu rejoindre la Serbie que quelques jours suivant sa libération. Selon ses déclarations, on peut admettre qu’il n’ait par ailleurs pas pu annoncer son absence à son employeur durant deux semaines en raison de son incarcération et que cela a pu engendrer la perte de son emploi (P. 138/1). En outre, on peut également admettre qu’il n’ait pas retrouvé de travail avant le 6 janvier 2020. Au regard de ces circonstances, il y a lieu d’indemniser l’appelant pour le dommage économique qu’il a subi en tenant compte d’une période de 53 jours. Cette période correspond à 17 jours pour le mois de novembre (du 14 au 30 novembre), à 31 jours pour le mois de décembre et à 5 jours pour le mois de janvier (du 1 er au 6 janvier, date à laquelle il a retrouvé du travail). Ainsi, en tenant compte d’un salaire mensuel de 1'870 fr., Q.________ a droit à une indemnité à ce titre de 3'303 fr. 70 (1’870/30 x 53).</w:t>
      </w:r>
    </w:p>
    <w:p>
      <w:r>
        <w:rPr>
          <w:b/>
        </w:rPr>
        <w:t>E. 6</w:t>
      </w:r>
    </w:p>
    <w:p>
      <w:r>
        <w:t>En définitive, l’appel de Q.________ doit être partiellement admis et le jugement attaqué réformé dans le sens des considérants. Il y a également lieu de prendre acte du retrait de l’appel joint du Ministère public. Selon liste d’opérations produite par Me Christophe Piguet (P. 148), dont il n’y a pas lieu de s’écarter, une indemnité pour la procédure d’appel d’un montant de 4'242 fr. 20, débours, TVA et vacation compris. Les frais de la procédure d’appel s’élèvent à 6'342 fr. 20. Ils sont constitués de l’émolument de jugement, par 2’100 fr. (art. 21 al. 1 et 2 TFIP [Tarif des frais de procédure et indemnités en matière pénale du 28 septembre 2010 ; BLV 312.03.1]), et de l’indemnité allouée au défenseur d’office de Q.________, par 4'242 fr. 20. Vu l’issue de la cause, le prénommé, qui n’obtient gain de cause que partiellement, supportera le tiers des frais d’appel, soit 2’114 fr. 05, le solde étant laissé à la charge de l’Etat. Q.________ ne sera tenu de rembourser à l’Etat le tiers de l’indemnité allouée à son défenseur d’office que lorsque sa situation financière le permettra (art. 135 al. 4 let. a CPP). En application de l’art. 442 al. 4 CPP, les émoluments de première instance, par 41'777 fr., et d’appel, par 700 fr., mis à la charge de Q.________ sont compensés avec l’indemnité au sens de l’art. 429 al. 1 let. b CPP qui lui est allouée (cf. consid. 5.2 supra ), le solde dû à l’Etat par l’appelant étant de 39'173 fr. 30 (42'477 fr. - 3’303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