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140 vom 29. August 2019</w:t>
      </w:r>
    </w:p>
    <w:p>
      <w:r>
        <w:t>VD Tribunal cantonal, 2019-08-29, FR</w:t>
      </w:r>
    </w:p>
    <w:p>
      <w:r>
        <w:rPr>
          <w:b/>
        </w:rPr>
        <w:t xml:space="preserve">Quelle: </w:t>
      </w:r>
      <w:r>
        <w:t>https://mcp.opencaselaw.ch/entscheid/vd_findinfo_Jug___2020___140</w:t>
      </w:r>
    </w:p>
    <w:p>
      <w:r>
        <w:t>FR: VD_FINDINFO Jug / 2020 / 140 du 29 août 2019</w:t>
      </w:r>
    </w:p>
    <w:p>
      <w:r>
        <w:t>IT: VD_FINDINFO Jug / 2020 / 140 del 29 agosto 2019</w:t>
      </w:r>
    </w:p>
    <w:p>
      <w:pPr>
        <w:pStyle w:val="Heading2"/>
      </w:pPr>
      <w:r>
        <w:t>Regeste</w:t>
      </w:r>
    </w:p>
    <w:p>
      <w:r>
        <w:t>DÉTENTION POUR DES MOTIFS DE SÛRETÉ, ATTEINTE À LA SANTÉ, POLITIQUE DE SANTÉ, REJET DE LA DEMANDE | 221 al. 1 let. a CPP (CH), 233 CPP (CH)</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Lors du prononcé du jugement en appel, la juridiction doit, à l'instar du tribunal de première instance, se prononcer sur la question de la détention. En effet, si l'autorité d'appel entre en matière, son jugement se substitue à celui de première instance (art. 408 CPP) ;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 cette décision, qui doit être dûment motivée, peut être prononcée par le tribunal in corpore dans le cas où elle est rendue dans le cadre du jugement sur appel, ou par la direction de la procédure si elle est rendue après le prononcé (ATF 139 IV 277 consid. 2.2). Lorsqu'un recours a été déposé au Tribunal fédéral contre le jugement d’appel, cela n'a pas pour conséquence de transférer à la juridiction fédérale les compétences cantonales en matière de prolongation de détention ou de mise en liberté (ATF 139 IV 277 consid. 2.2 ; TF 6B_101/2013 du 23 août 2013 consid. 3 ; TF 6B_135/2012 du 18 avril 2012 consid. 1.6 ; CAPE 11 mai 2017/208 consid. 1.1.1).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 e éd., Bâle 2016, n. 4 ad. art. 233).</w:t>
      </w:r>
    </w:p>
    <w:p>
      <w:r>
        <w:rPr>
          <w:b/>
        </w:rPr>
        <w:t>E. 1.2</w:t>
      </w:r>
    </w:p>
    <w:p>
      <w:r>
        <w:t>En l’espèce, A.N.________ a déposé sa demande de mise en liberté après avoir interjeté recours auprès du Tribunal fédéral contre le jugement rendu le 17 janvier 2020 par la Cour d’appel pénale. Sa demande est recevable, dès lors qu’il peut déposer en tout temps une telle requête. La procédure devant l’instance judiciaire fédérale est actuellement pendante. Selon la jurisprudence précitée (cf. supra consid. 1.1), la juridiction d’appel reste toutefois compétente pour examiner la demande de mise en liberté d’A.N.________. Par ailleurs, dans son jugement du 17 janvier 2020, la Cour d’appel pénale a ordonné le maintien d’A.N.________ en détention pour des motifs de sûreté. Ainsi, elle statuera également à trois juges sur la demande de mise liberté déposée par l’intéressé (cf. CAPE 11 mai 2017/208 consid. 1.2).</w:t>
      </w:r>
    </w:p>
    <w:p>
      <w:r>
        <w:rPr>
          <w:b/>
        </w:rPr>
        <w:t>E. 2.1</w:t>
      </w:r>
    </w:p>
    <w:p>
      <w:r>
        <w:t>A.N.________ fait principalement valoir la crise sanitaire actuelle en raison de la pandémie du COVID-19 pour demander sa libération immédiate. Il invoque le fait qu’il serait une personne à risques, étant âgé de 65 ans, et ayant une santé fragile et souffrant d’un kyste au rein. Incarcéré à la prison du Bois-Mermet, sa vie serait quotidiennement mise en danger au vu de la promiscuité entre les détenus et de la vétusté de l’établissement pénitentiaire. Il serait également impossible de respecter les mesures d’hygiène recommandées par l’OFSP (Office fédéral de la santé publique) et notamment son isolement total, alors qu’il serait particulièrement vulnérable. Il conteste par ailleurs l’existence des risques de fuite, de collusion et de récidive.</w:t>
      </w:r>
    </w:p>
    <w:p>
      <w:r>
        <w:rPr>
          <w:b/>
        </w:rPr>
        <w:t>E. 2.2.1</w:t>
      </w:r>
    </w:p>
    <w:p>
      <w:r>
        <w:t>Selon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w:t>
      </w:r>
    </w:p>
    <w:p>
      <w:r>
        <w:rPr>
          <w:b/>
        </w:rPr>
        <w:t>E. 2.2.2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 TF 1B_362/2019 du 17 septembre 2019 consid. 2.2).</w:t>
      </w:r>
    </w:p>
    <w:p>
      <w:r>
        <w:rPr>
          <w:b/>
        </w:rPr>
        <w:t>E. 2.2.3</w:t>
      </w:r>
    </w:p>
    <w:p>
      <w:r>
        <w:t>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w:t>
      </w:r>
    </w:p>
    <w:p>
      <w:r>
        <w:rPr>
          <w:b/>
        </w:rPr>
        <w:t>E. 2.3</w:t>
      </w:r>
    </w:p>
    <w:p>
      <w:r>
        <w:t>En l’espèce, au terme du jugement rendu par la Cour de céans le 17 janvier 2020, l’intéressé a notamment été reconnu coupable de vingt-deux cas de vols et tentatives de vols à l’astuce en se faisant passer pour un plombier ou un policier. Même si la plupart de ces cas sont contestées dans le cadre du recours déposé auprès du Tribunal fédéral, tout comme l’est sa condamnation pour usurpation de fonctions, à ce stade, au vu de sa condamnation en première instance tout comme en instance d’appel, des soupçons suffisants au sens de l’art. 221 CPP existent que les infractions de vol en bande et par métier et d’usurpation de fonctions aient été commises. Ensuite, le requérant est un ressortissant français, domicilié dans la banlieue de Paris, sans profession et sans la moindre attache ni famille en Suisse. Au vu de la peine privative de liberté de 4 ans et 5 mois prononcée à son encontre, et de l’expulsion du territoire suisse dont il fait l’objet, pour une durée de 10 ans, le risque qu’il tente de se soustraire à l’action pénale ainsi qu’au solde de sa sanction dans l’hypothèse où il devait être libéré est patent. Il indique au surplus vouloir rejoindre son domicile de [...], en France, d’où son extradition ne sera pas possible, ce pays n’extradant pas ses ressortissants. Force est ainsi de constater que le risque de fuite demeure réalisé. Les conditions de l’art. 221 al. 1 CPP étant alternatives (TF 1B_249/2011 du 7 juin 2011 consid. 2.4), l’existence d’un risque de fuite dispense d’examiner si la détention provisoire s’impose également en raison des éventuels risques de collusion et de récidive. Enfin, c’est en vain qu’A.N.________ invoque un prétendu risque pour sa santé en raison de la pandémie du COVID-19. En effet, comme l’a à juste titre fait remarquer le Ministère public dans ses déterminations, les mesures sanitaires prises par les établissements pénitentiaires sont telles que la santé du requérant n’est pas plus en danger à l’intérieur qu’à l’extérieur de la prison du Bois-Mermet. C’est même probablement l’inverse. En effet, diverses mesures ont été mises en œuvre pour limiter au maximum la propagation du virus. A ce jour, aucune personne détenue n’est suspectée d’être porteur du coronavirus dans les prisons vaudoises et aucun cas de contamination n’a été signalé à ce jour. Le risque de contamination n’est donc pas plus élevé que dans la région parisienne, où A.N.________ souhaiterait se rendre. Le moyen soulevé est donc vain. La détention pour des motifs de sûreté d’A.N.________ est dès lors justifiée en raison de l’existence d’un risque de fuite, cette détention étant par ailleurs encore largement proportionnée dans sa durée, étant précisé que si par hypothèse la peine prononcée devait être confirmée, la fin de celle-ci interviendrait en octobre 2022.</w:t>
      </w:r>
    </w:p>
    <w:p>
      <w:r>
        <w:rPr>
          <w:b/>
        </w:rPr>
        <w:t>E. 3</w:t>
      </w:r>
    </w:p>
    <w:p>
      <w:r>
        <w:t>Au vu de ce qui précède, la demande de mise en liberté immédiate d’A.N.________ doit être rejetée. Les frais du présent prononcé, par 990 fr. (art. 21 al. 1 TFIP [Tarif des frais de procédure et indemnités en matière pénale du 28 septembre 2010 ; BLV 312.03.1]), seront mis à la charge d’A.N.________, qui succombe (art. 428 al. 1 CPP). Me Mathilde Bessonnet n’agissant plus en qualité de défenseur d’office, son mandat ayant pris fin à l’issue de la procédure d’appel, il n’y a pas lieu de lui octroyer une indemnité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